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DB182" w14:textId="77777777" w:rsidR="00CE151B" w:rsidRPr="00CE151B" w:rsidRDefault="00CE151B" w:rsidP="00CE151B">
      <w:pPr>
        <w:shd w:val="clear" w:color="auto" w:fill="DEEAF6" w:themeFill="accent5" w:themeFillTint="33"/>
        <w:rPr>
          <w:b/>
        </w:rPr>
      </w:pPr>
    </w:p>
    <w:p w14:paraId="124F837F" w14:textId="77777777" w:rsidR="00CE151B" w:rsidRDefault="00CE151B" w:rsidP="00CE151B">
      <w:pPr>
        <w:shd w:val="clear" w:color="auto" w:fill="DEEAF6" w:themeFill="accent5" w:themeFillTint="33"/>
      </w:pPr>
    </w:p>
    <w:p w14:paraId="0F746C9E" w14:textId="77777777" w:rsidR="00CE151B" w:rsidRDefault="00CE151B" w:rsidP="00CE151B">
      <w:pPr>
        <w:shd w:val="clear" w:color="auto" w:fill="DEEAF6" w:themeFill="accent5" w:themeFillTint="33"/>
      </w:pPr>
    </w:p>
    <w:p w14:paraId="007795D6" w14:textId="77777777" w:rsidR="00CE151B" w:rsidRDefault="00CE151B" w:rsidP="00CE151B">
      <w:pPr>
        <w:shd w:val="clear" w:color="auto" w:fill="DEEAF6" w:themeFill="accent5" w:themeFillTint="33"/>
      </w:pPr>
    </w:p>
    <w:p w14:paraId="06BBDB35" w14:textId="77777777" w:rsidR="00CE151B" w:rsidRDefault="00CE151B" w:rsidP="00CE151B">
      <w:pPr>
        <w:shd w:val="clear" w:color="auto" w:fill="DEEAF6" w:themeFill="accent5" w:themeFillTint="33"/>
      </w:pPr>
    </w:p>
    <w:p w14:paraId="6FD53706" w14:textId="77777777" w:rsidR="00CE151B" w:rsidRDefault="00CE151B" w:rsidP="00CE151B">
      <w:pPr>
        <w:shd w:val="clear" w:color="auto" w:fill="DEEAF6" w:themeFill="accent5" w:themeFillTint="33"/>
      </w:pPr>
    </w:p>
    <w:p w14:paraId="61ACE46A" w14:textId="77777777" w:rsidR="00CE151B" w:rsidRDefault="00CE151B" w:rsidP="00CE151B">
      <w:pPr>
        <w:shd w:val="clear" w:color="auto" w:fill="DEEAF6" w:themeFill="accent5" w:themeFillTint="33"/>
      </w:pPr>
    </w:p>
    <w:p w14:paraId="40C3A913" w14:textId="77777777" w:rsidR="00CE151B" w:rsidRDefault="00CE151B" w:rsidP="00CE151B">
      <w:pPr>
        <w:shd w:val="clear" w:color="auto" w:fill="DEEAF6" w:themeFill="accent5" w:themeFillTint="33"/>
      </w:pPr>
    </w:p>
    <w:p w14:paraId="2D3A0D54" w14:textId="77777777" w:rsidR="00CE151B" w:rsidRDefault="00CE151B" w:rsidP="00CE151B">
      <w:pPr>
        <w:shd w:val="clear" w:color="auto" w:fill="DEEAF6" w:themeFill="accent5" w:themeFillTint="33"/>
      </w:pPr>
    </w:p>
    <w:p w14:paraId="271E17AC" w14:textId="7BC45F87" w:rsidR="00CE151B" w:rsidRPr="00F75133" w:rsidRDefault="00CE151B" w:rsidP="00CE151B">
      <w:pPr>
        <w:shd w:val="clear" w:color="auto" w:fill="DEEAF6" w:themeFill="accent5" w:themeFillTint="33"/>
        <w:rPr>
          <w:sz w:val="96"/>
          <w:szCs w:val="96"/>
          <w:lang w:val="fr-CA"/>
        </w:rPr>
      </w:pPr>
      <w:r w:rsidRPr="00F75133">
        <w:rPr>
          <w:sz w:val="96"/>
          <w:szCs w:val="96"/>
          <w:lang w:val="fr-CA"/>
        </w:rPr>
        <w:t xml:space="preserve">Plan </w:t>
      </w:r>
      <w:r w:rsidR="00F75133" w:rsidRPr="00F75133">
        <w:rPr>
          <w:sz w:val="96"/>
          <w:szCs w:val="96"/>
          <w:lang w:val="fr-CA"/>
        </w:rPr>
        <w:t>d’accessibilité pluriannuel</w:t>
      </w:r>
    </w:p>
    <w:p w14:paraId="0830D493" w14:textId="1457618D" w:rsidR="00603FA4" w:rsidRPr="00603FA4" w:rsidRDefault="00603FA4" w:rsidP="00603FA4">
      <w:pPr>
        <w:shd w:val="clear" w:color="auto" w:fill="DEEAF6" w:themeFill="accent5" w:themeFillTint="33"/>
        <w:rPr>
          <w:sz w:val="48"/>
          <w:szCs w:val="48"/>
          <w:lang w:val="fr-CA"/>
        </w:rPr>
      </w:pPr>
      <w:r w:rsidRPr="00603FA4">
        <w:rPr>
          <w:sz w:val="48"/>
          <w:szCs w:val="48"/>
          <w:lang w:val="fr-CA"/>
        </w:rPr>
        <w:t>Loi sur l</w:t>
      </w:r>
      <w:r>
        <w:rPr>
          <w:sz w:val="48"/>
          <w:szCs w:val="48"/>
          <w:lang w:val="fr-CA"/>
        </w:rPr>
        <w:t>’</w:t>
      </w:r>
      <w:r w:rsidRPr="00603FA4">
        <w:rPr>
          <w:sz w:val="48"/>
          <w:szCs w:val="48"/>
          <w:lang w:val="fr-CA"/>
        </w:rPr>
        <w:t xml:space="preserve">accessibilité pour les personnes handicapées </w:t>
      </w:r>
      <w:proofErr w:type="gramStart"/>
      <w:r w:rsidRPr="00603FA4">
        <w:rPr>
          <w:sz w:val="48"/>
          <w:szCs w:val="48"/>
          <w:lang w:val="fr-CA"/>
        </w:rPr>
        <w:t>de</w:t>
      </w:r>
      <w:proofErr w:type="gramEnd"/>
      <w:r w:rsidRPr="00603FA4">
        <w:rPr>
          <w:sz w:val="48"/>
          <w:szCs w:val="48"/>
          <w:lang w:val="fr-CA"/>
        </w:rPr>
        <w:t xml:space="preserve"> l</w:t>
      </w:r>
      <w:r w:rsidR="00EB01D5">
        <w:rPr>
          <w:sz w:val="48"/>
          <w:szCs w:val="48"/>
          <w:lang w:val="fr-CA"/>
        </w:rPr>
        <w:t>’</w:t>
      </w:r>
      <w:r w:rsidRPr="00603FA4">
        <w:rPr>
          <w:sz w:val="48"/>
          <w:szCs w:val="48"/>
          <w:lang w:val="fr-CA"/>
        </w:rPr>
        <w:t>Ontario</w:t>
      </w:r>
    </w:p>
    <w:p w14:paraId="4A069620" w14:textId="649BAE2A" w:rsidR="00CE151B" w:rsidRPr="00F75133" w:rsidRDefault="00CE151B" w:rsidP="00CE151B">
      <w:pPr>
        <w:shd w:val="clear" w:color="auto" w:fill="DEEAF6" w:themeFill="accent5" w:themeFillTint="33"/>
        <w:rPr>
          <w:lang w:val="fr-CA"/>
        </w:rPr>
      </w:pPr>
      <w:r w:rsidRPr="00F75133">
        <w:rPr>
          <w:lang w:val="fr-CA"/>
        </w:rPr>
        <w:t>D</w:t>
      </w:r>
      <w:r w:rsidR="00EB01D5">
        <w:rPr>
          <w:lang w:val="fr-CA"/>
        </w:rPr>
        <w:t>écembre</w:t>
      </w:r>
      <w:r w:rsidRPr="00F75133">
        <w:rPr>
          <w:lang w:val="fr-CA"/>
        </w:rPr>
        <w:t xml:space="preserve"> 2024 -2029 </w:t>
      </w:r>
    </w:p>
    <w:p w14:paraId="79BA3285" w14:textId="16E5F990" w:rsidR="00994026" w:rsidRPr="00F75133" w:rsidRDefault="00EB01D5" w:rsidP="00CE151B">
      <w:pPr>
        <w:shd w:val="clear" w:color="auto" w:fill="DEEAF6" w:themeFill="accent5" w:themeFillTint="33"/>
        <w:rPr>
          <w:lang w:val="fr-CA"/>
        </w:rPr>
      </w:pPr>
      <w:r>
        <w:rPr>
          <w:lang w:val="fr-CA"/>
        </w:rPr>
        <w:t>Prochaine révision </w:t>
      </w:r>
      <w:r w:rsidR="00697AA2" w:rsidRPr="00F75133">
        <w:rPr>
          <w:lang w:val="fr-CA"/>
        </w:rPr>
        <w:t>:</w:t>
      </w:r>
      <w:r w:rsidR="00CE151B" w:rsidRPr="00F75133">
        <w:rPr>
          <w:lang w:val="fr-CA"/>
        </w:rPr>
        <w:t xml:space="preserve"> Nov</w:t>
      </w:r>
      <w:r>
        <w:rPr>
          <w:lang w:val="fr-CA"/>
        </w:rPr>
        <w:t>embre</w:t>
      </w:r>
      <w:r w:rsidR="00CE151B" w:rsidRPr="00F75133">
        <w:rPr>
          <w:lang w:val="fr-CA"/>
        </w:rPr>
        <w:t xml:space="preserve"> 2029 </w:t>
      </w:r>
    </w:p>
    <w:p w14:paraId="0887BDA1" w14:textId="77777777" w:rsidR="00CE151B" w:rsidRPr="00F75133" w:rsidRDefault="00CE151B" w:rsidP="00CE151B">
      <w:pPr>
        <w:shd w:val="clear" w:color="auto" w:fill="DEEAF6" w:themeFill="accent5" w:themeFillTint="33"/>
        <w:rPr>
          <w:lang w:val="fr-CA"/>
        </w:rPr>
      </w:pPr>
    </w:p>
    <w:p w14:paraId="5A8286C7" w14:textId="77777777" w:rsidR="00CE151B" w:rsidRPr="00F75133" w:rsidRDefault="00CE151B" w:rsidP="00CE151B">
      <w:pPr>
        <w:shd w:val="clear" w:color="auto" w:fill="DEEAF6" w:themeFill="accent5" w:themeFillTint="33"/>
        <w:rPr>
          <w:lang w:val="fr-CA"/>
        </w:rPr>
      </w:pPr>
    </w:p>
    <w:p w14:paraId="5C797076" w14:textId="77777777" w:rsidR="00CE151B" w:rsidRPr="00F75133" w:rsidRDefault="00CE151B" w:rsidP="00CE151B">
      <w:pPr>
        <w:shd w:val="clear" w:color="auto" w:fill="DEEAF6" w:themeFill="accent5" w:themeFillTint="33"/>
        <w:rPr>
          <w:lang w:val="fr-CA"/>
        </w:rPr>
      </w:pPr>
    </w:p>
    <w:p w14:paraId="39DC357C" w14:textId="77777777" w:rsidR="00CE151B" w:rsidRPr="00F75133" w:rsidRDefault="00CE151B" w:rsidP="00CE151B">
      <w:pPr>
        <w:shd w:val="clear" w:color="auto" w:fill="DEEAF6" w:themeFill="accent5" w:themeFillTint="33"/>
        <w:rPr>
          <w:lang w:val="fr-CA"/>
        </w:rPr>
      </w:pPr>
    </w:p>
    <w:p w14:paraId="4FFCAEFC" w14:textId="77777777" w:rsidR="00CE151B" w:rsidRPr="00F75133" w:rsidRDefault="00CE151B" w:rsidP="00CE151B">
      <w:pPr>
        <w:shd w:val="clear" w:color="auto" w:fill="DEEAF6" w:themeFill="accent5" w:themeFillTint="33"/>
        <w:rPr>
          <w:lang w:val="fr-CA"/>
        </w:rPr>
      </w:pPr>
    </w:p>
    <w:p w14:paraId="2BD1EAB1" w14:textId="77777777" w:rsidR="00CE151B" w:rsidRPr="00F75133" w:rsidRDefault="00CE151B" w:rsidP="00CE151B">
      <w:pPr>
        <w:shd w:val="clear" w:color="auto" w:fill="DEEAF6" w:themeFill="accent5" w:themeFillTint="33"/>
        <w:rPr>
          <w:lang w:val="fr-CA"/>
        </w:rPr>
      </w:pPr>
    </w:p>
    <w:p w14:paraId="2F25466B" w14:textId="77777777" w:rsidR="00CE151B" w:rsidRPr="00F75133" w:rsidRDefault="00CE151B" w:rsidP="00CE151B">
      <w:pPr>
        <w:shd w:val="clear" w:color="auto" w:fill="DEEAF6" w:themeFill="accent5" w:themeFillTint="33"/>
        <w:rPr>
          <w:lang w:val="fr-CA"/>
        </w:rPr>
      </w:pPr>
    </w:p>
    <w:p w14:paraId="440B409A" w14:textId="77777777" w:rsidR="00CE151B" w:rsidRPr="00F75133" w:rsidRDefault="00CE151B" w:rsidP="00CE151B">
      <w:pPr>
        <w:shd w:val="clear" w:color="auto" w:fill="DEEAF6" w:themeFill="accent5" w:themeFillTint="33"/>
        <w:rPr>
          <w:lang w:val="fr-CA"/>
        </w:rPr>
      </w:pPr>
    </w:p>
    <w:p w14:paraId="7EBA2397" w14:textId="77777777" w:rsidR="00CE151B" w:rsidRPr="00F75133" w:rsidRDefault="00CE151B" w:rsidP="00CE151B">
      <w:pPr>
        <w:shd w:val="clear" w:color="auto" w:fill="DEEAF6" w:themeFill="accent5" w:themeFillTint="33"/>
        <w:rPr>
          <w:lang w:val="fr-CA"/>
        </w:rPr>
      </w:pPr>
    </w:p>
    <w:p w14:paraId="45F45B48" w14:textId="77777777" w:rsidR="00CE151B" w:rsidRPr="00F75133" w:rsidRDefault="00CE151B" w:rsidP="00CE151B">
      <w:pPr>
        <w:shd w:val="clear" w:color="auto" w:fill="DEEAF6" w:themeFill="accent5" w:themeFillTint="33"/>
        <w:rPr>
          <w:lang w:val="fr-CA"/>
        </w:rPr>
      </w:pPr>
    </w:p>
    <w:p w14:paraId="4A5EA3B6" w14:textId="77777777" w:rsidR="00CE151B" w:rsidRPr="00F75133" w:rsidRDefault="00CE151B" w:rsidP="00CE151B">
      <w:pPr>
        <w:shd w:val="clear" w:color="auto" w:fill="DEEAF6" w:themeFill="accent5" w:themeFillTint="33"/>
        <w:rPr>
          <w:lang w:val="fr-CA"/>
        </w:rPr>
      </w:pPr>
    </w:p>
    <w:sdt>
      <w:sdtPr>
        <w:rPr>
          <w:rFonts w:asciiTheme="minorHAnsi" w:eastAsiaTheme="minorHAnsi" w:hAnsiTheme="minorHAnsi" w:cstheme="minorBidi"/>
          <w:color w:val="auto"/>
          <w:sz w:val="22"/>
          <w:szCs w:val="22"/>
          <w:lang w:val="en-CA"/>
        </w:rPr>
        <w:id w:val="125286211"/>
        <w:docPartObj>
          <w:docPartGallery w:val="Table of Contents"/>
          <w:docPartUnique/>
        </w:docPartObj>
      </w:sdtPr>
      <w:sdtEndPr>
        <w:rPr>
          <w:b/>
          <w:bCs/>
          <w:noProof/>
        </w:rPr>
      </w:sdtEndPr>
      <w:sdtContent>
        <w:p w14:paraId="2BBB4CB1" w14:textId="4A98CEA0" w:rsidR="00CE151B" w:rsidRPr="00F75133" w:rsidRDefault="002C1566">
          <w:pPr>
            <w:pStyle w:val="En-ttedetabledesmatires"/>
            <w:rPr>
              <w:lang w:val="fr-CA"/>
            </w:rPr>
          </w:pPr>
          <w:r>
            <w:rPr>
              <w:lang w:val="fr-CA"/>
            </w:rPr>
            <w:t>Tables des matières</w:t>
          </w:r>
        </w:p>
        <w:p w14:paraId="214F816C" w14:textId="4BC84C74" w:rsidR="0002017E" w:rsidRDefault="00CE151B">
          <w:pPr>
            <w:pStyle w:val="TM2"/>
            <w:tabs>
              <w:tab w:val="right" w:leader="dot" w:pos="10337"/>
            </w:tabs>
            <w:rPr>
              <w:rFonts w:eastAsiaTheme="minorEastAsia"/>
              <w:noProof/>
              <w:kern w:val="2"/>
              <w:sz w:val="24"/>
              <w:szCs w:val="24"/>
              <w:lang w:val="en-US"/>
              <w14:ligatures w14:val="standardContextual"/>
            </w:rPr>
          </w:pPr>
          <w:r>
            <w:fldChar w:fldCharType="begin"/>
          </w:r>
          <w:r>
            <w:instrText xml:space="preserve"> TOC \o "1-3" \h \z \u </w:instrText>
          </w:r>
          <w:r>
            <w:fldChar w:fldCharType="separate"/>
          </w:r>
          <w:hyperlink w:anchor="_Toc185527849" w:history="1">
            <w:r w:rsidR="0002017E" w:rsidRPr="00287BB0">
              <w:rPr>
                <w:rStyle w:val="Lienhypertexte"/>
                <w:b/>
                <w:noProof/>
                <w:lang w:val="fr-CA"/>
              </w:rPr>
              <w:t>Description du Bureau des services à la jeunesse</w:t>
            </w:r>
            <w:r w:rsidR="0002017E">
              <w:rPr>
                <w:noProof/>
                <w:webHidden/>
              </w:rPr>
              <w:tab/>
            </w:r>
            <w:r w:rsidR="0002017E">
              <w:rPr>
                <w:noProof/>
                <w:webHidden/>
              </w:rPr>
              <w:fldChar w:fldCharType="begin"/>
            </w:r>
            <w:r w:rsidR="0002017E">
              <w:rPr>
                <w:noProof/>
                <w:webHidden/>
              </w:rPr>
              <w:instrText xml:space="preserve"> PAGEREF _Toc185527849 \h </w:instrText>
            </w:r>
            <w:r w:rsidR="0002017E">
              <w:rPr>
                <w:noProof/>
                <w:webHidden/>
              </w:rPr>
            </w:r>
            <w:r w:rsidR="0002017E">
              <w:rPr>
                <w:noProof/>
                <w:webHidden/>
              </w:rPr>
              <w:fldChar w:fldCharType="separate"/>
            </w:r>
            <w:r w:rsidR="00A67FA0">
              <w:rPr>
                <w:noProof/>
                <w:webHidden/>
              </w:rPr>
              <w:t>3</w:t>
            </w:r>
            <w:r w:rsidR="0002017E">
              <w:rPr>
                <w:noProof/>
                <w:webHidden/>
              </w:rPr>
              <w:fldChar w:fldCharType="end"/>
            </w:r>
          </w:hyperlink>
        </w:p>
        <w:p w14:paraId="0224BDC4" w14:textId="257052D7"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0" w:history="1">
            <w:r w:rsidRPr="00287BB0">
              <w:rPr>
                <w:rStyle w:val="Lienhypertexte"/>
                <w:b/>
                <w:noProof/>
              </w:rPr>
              <w:t>Objectif</w:t>
            </w:r>
            <w:r>
              <w:rPr>
                <w:noProof/>
                <w:webHidden/>
              </w:rPr>
              <w:tab/>
            </w:r>
            <w:r>
              <w:rPr>
                <w:noProof/>
                <w:webHidden/>
              </w:rPr>
              <w:fldChar w:fldCharType="begin"/>
            </w:r>
            <w:r>
              <w:rPr>
                <w:noProof/>
                <w:webHidden/>
              </w:rPr>
              <w:instrText xml:space="preserve"> PAGEREF _Toc185527850 \h </w:instrText>
            </w:r>
            <w:r>
              <w:rPr>
                <w:noProof/>
                <w:webHidden/>
              </w:rPr>
            </w:r>
            <w:r>
              <w:rPr>
                <w:noProof/>
                <w:webHidden/>
              </w:rPr>
              <w:fldChar w:fldCharType="separate"/>
            </w:r>
            <w:r w:rsidR="00A67FA0">
              <w:rPr>
                <w:noProof/>
                <w:webHidden/>
              </w:rPr>
              <w:t>3</w:t>
            </w:r>
            <w:r>
              <w:rPr>
                <w:noProof/>
                <w:webHidden/>
              </w:rPr>
              <w:fldChar w:fldCharType="end"/>
            </w:r>
          </w:hyperlink>
        </w:p>
        <w:p w14:paraId="5690BE27" w14:textId="0F666515"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1" w:history="1">
            <w:r w:rsidRPr="00287BB0">
              <w:rPr>
                <w:rStyle w:val="Lienhypertexte"/>
                <w:b/>
                <w:noProof/>
                <w:lang w:val="fr-CA"/>
              </w:rPr>
              <w:t>Réalisations passées pour éliminer et prévenir les obstacles</w:t>
            </w:r>
            <w:r>
              <w:rPr>
                <w:noProof/>
                <w:webHidden/>
              </w:rPr>
              <w:tab/>
            </w:r>
            <w:r>
              <w:rPr>
                <w:noProof/>
                <w:webHidden/>
              </w:rPr>
              <w:fldChar w:fldCharType="begin"/>
            </w:r>
            <w:r>
              <w:rPr>
                <w:noProof/>
                <w:webHidden/>
              </w:rPr>
              <w:instrText xml:space="preserve"> PAGEREF _Toc185527851 \h </w:instrText>
            </w:r>
            <w:r>
              <w:rPr>
                <w:noProof/>
                <w:webHidden/>
              </w:rPr>
            </w:r>
            <w:r>
              <w:rPr>
                <w:noProof/>
                <w:webHidden/>
              </w:rPr>
              <w:fldChar w:fldCharType="separate"/>
            </w:r>
            <w:r w:rsidR="00A67FA0">
              <w:rPr>
                <w:noProof/>
                <w:webHidden/>
              </w:rPr>
              <w:t>3</w:t>
            </w:r>
            <w:r>
              <w:rPr>
                <w:noProof/>
                <w:webHidden/>
              </w:rPr>
              <w:fldChar w:fldCharType="end"/>
            </w:r>
          </w:hyperlink>
        </w:p>
        <w:p w14:paraId="09DBAF9F" w14:textId="277D1B2E"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2" w:history="1">
            <w:r w:rsidRPr="00287BB0">
              <w:rPr>
                <w:rStyle w:val="Lienhypertexte"/>
                <w:b/>
                <w:noProof/>
                <w:lang w:val="fr-CA"/>
              </w:rPr>
              <w:t>Déclaration d’engagement</w:t>
            </w:r>
            <w:r>
              <w:rPr>
                <w:noProof/>
                <w:webHidden/>
              </w:rPr>
              <w:tab/>
            </w:r>
            <w:r>
              <w:rPr>
                <w:noProof/>
                <w:webHidden/>
              </w:rPr>
              <w:fldChar w:fldCharType="begin"/>
            </w:r>
            <w:r>
              <w:rPr>
                <w:noProof/>
                <w:webHidden/>
              </w:rPr>
              <w:instrText xml:space="preserve"> PAGEREF _Toc185527852 \h </w:instrText>
            </w:r>
            <w:r>
              <w:rPr>
                <w:noProof/>
                <w:webHidden/>
              </w:rPr>
            </w:r>
            <w:r>
              <w:rPr>
                <w:noProof/>
                <w:webHidden/>
              </w:rPr>
              <w:fldChar w:fldCharType="separate"/>
            </w:r>
            <w:r w:rsidR="00A67FA0">
              <w:rPr>
                <w:noProof/>
                <w:webHidden/>
              </w:rPr>
              <w:t>3</w:t>
            </w:r>
            <w:r>
              <w:rPr>
                <w:noProof/>
                <w:webHidden/>
              </w:rPr>
              <w:fldChar w:fldCharType="end"/>
            </w:r>
          </w:hyperlink>
        </w:p>
        <w:p w14:paraId="4BED1BE3" w14:textId="330B5CC6"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3" w:history="1">
            <w:r w:rsidRPr="00287BB0">
              <w:rPr>
                <w:rStyle w:val="Lienhypertexte"/>
                <w:b/>
                <w:noProof/>
                <w:lang w:val="fr-CA"/>
              </w:rPr>
              <w:t>Plan de conformité en matière d’accessibilité</w:t>
            </w:r>
            <w:r>
              <w:rPr>
                <w:noProof/>
                <w:webHidden/>
              </w:rPr>
              <w:tab/>
            </w:r>
            <w:r>
              <w:rPr>
                <w:noProof/>
                <w:webHidden/>
              </w:rPr>
              <w:fldChar w:fldCharType="begin"/>
            </w:r>
            <w:r>
              <w:rPr>
                <w:noProof/>
                <w:webHidden/>
              </w:rPr>
              <w:instrText xml:space="preserve"> PAGEREF _Toc185527853 \h </w:instrText>
            </w:r>
            <w:r>
              <w:rPr>
                <w:noProof/>
                <w:webHidden/>
              </w:rPr>
            </w:r>
            <w:r>
              <w:rPr>
                <w:noProof/>
                <w:webHidden/>
              </w:rPr>
              <w:fldChar w:fldCharType="separate"/>
            </w:r>
            <w:r w:rsidR="00A67FA0">
              <w:rPr>
                <w:noProof/>
                <w:webHidden/>
              </w:rPr>
              <w:t>3</w:t>
            </w:r>
            <w:r>
              <w:rPr>
                <w:noProof/>
                <w:webHidden/>
              </w:rPr>
              <w:fldChar w:fldCharType="end"/>
            </w:r>
          </w:hyperlink>
        </w:p>
        <w:p w14:paraId="6253A4FC" w14:textId="3A76731F"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4" w:history="1">
            <w:r w:rsidRPr="00287BB0">
              <w:rPr>
                <w:rStyle w:val="Lienhypertexte"/>
                <w:b/>
                <w:noProof/>
                <w:lang w:val="fr-CA"/>
              </w:rPr>
              <w:t>Partie 1 – Norme de service à la clientèle</w:t>
            </w:r>
            <w:r>
              <w:rPr>
                <w:noProof/>
                <w:webHidden/>
              </w:rPr>
              <w:tab/>
            </w:r>
            <w:r>
              <w:rPr>
                <w:noProof/>
                <w:webHidden/>
              </w:rPr>
              <w:fldChar w:fldCharType="begin"/>
            </w:r>
            <w:r>
              <w:rPr>
                <w:noProof/>
                <w:webHidden/>
              </w:rPr>
              <w:instrText xml:space="preserve"> PAGEREF _Toc185527854 \h </w:instrText>
            </w:r>
            <w:r>
              <w:rPr>
                <w:noProof/>
                <w:webHidden/>
              </w:rPr>
            </w:r>
            <w:r>
              <w:rPr>
                <w:noProof/>
                <w:webHidden/>
              </w:rPr>
              <w:fldChar w:fldCharType="separate"/>
            </w:r>
            <w:r w:rsidR="00A67FA0">
              <w:rPr>
                <w:noProof/>
                <w:webHidden/>
              </w:rPr>
              <w:t>4</w:t>
            </w:r>
            <w:r>
              <w:rPr>
                <w:noProof/>
                <w:webHidden/>
              </w:rPr>
              <w:fldChar w:fldCharType="end"/>
            </w:r>
          </w:hyperlink>
        </w:p>
        <w:p w14:paraId="3DED495D" w14:textId="5228BB1A"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5" w:history="1">
            <w:r w:rsidRPr="00287BB0">
              <w:rPr>
                <w:rStyle w:val="Lienhypertexte"/>
                <w:b/>
                <w:noProof/>
                <w:lang w:val="fr-CA"/>
              </w:rPr>
              <w:t>Partie 2 – Norme sur l’information et la communication</w:t>
            </w:r>
            <w:r>
              <w:rPr>
                <w:noProof/>
                <w:webHidden/>
              </w:rPr>
              <w:tab/>
            </w:r>
            <w:r>
              <w:rPr>
                <w:noProof/>
                <w:webHidden/>
              </w:rPr>
              <w:fldChar w:fldCharType="begin"/>
            </w:r>
            <w:r>
              <w:rPr>
                <w:noProof/>
                <w:webHidden/>
              </w:rPr>
              <w:instrText xml:space="preserve"> PAGEREF _Toc185527855 \h </w:instrText>
            </w:r>
            <w:r>
              <w:rPr>
                <w:noProof/>
                <w:webHidden/>
              </w:rPr>
            </w:r>
            <w:r>
              <w:rPr>
                <w:noProof/>
                <w:webHidden/>
              </w:rPr>
              <w:fldChar w:fldCharType="separate"/>
            </w:r>
            <w:r w:rsidR="00A67FA0">
              <w:rPr>
                <w:noProof/>
                <w:webHidden/>
              </w:rPr>
              <w:t>5</w:t>
            </w:r>
            <w:r>
              <w:rPr>
                <w:noProof/>
                <w:webHidden/>
              </w:rPr>
              <w:fldChar w:fldCharType="end"/>
            </w:r>
          </w:hyperlink>
        </w:p>
        <w:p w14:paraId="53244B40" w14:textId="34355760"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6" w:history="1">
            <w:r w:rsidRPr="00287BB0">
              <w:rPr>
                <w:rStyle w:val="Lienhypertexte"/>
                <w:b/>
                <w:noProof/>
                <w:lang w:val="fr-CA"/>
              </w:rPr>
              <w:t>Partie 3 – Norme d’emploi</w:t>
            </w:r>
            <w:r>
              <w:rPr>
                <w:noProof/>
                <w:webHidden/>
              </w:rPr>
              <w:tab/>
            </w:r>
            <w:r>
              <w:rPr>
                <w:noProof/>
                <w:webHidden/>
              </w:rPr>
              <w:fldChar w:fldCharType="begin"/>
            </w:r>
            <w:r>
              <w:rPr>
                <w:noProof/>
                <w:webHidden/>
              </w:rPr>
              <w:instrText xml:space="preserve"> PAGEREF _Toc185527856 \h </w:instrText>
            </w:r>
            <w:r>
              <w:rPr>
                <w:noProof/>
                <w:webHidden/>
              </w:rPr>
            </w:r>
            <w:r>
              <w:rPr>
                <w:noProof/>
                <w:webHidden/>
              </w:rPr>
              <w:fldChar w:fldCharType="separate"/>
            </w:r>
            <w:r w:rsidR="00A67FA0">
              <w:rPr>
                <w:noProof/>
                <w:webHidden/>
              </w:rPr>
              <w:t>6</w:t>
            </w:r>
            <w:r>
              <w:rPr>
                <w:noProof/>
                <w:webHidden/>
              </w:rPr>
              <w:fldChar w:fldCharType="end"/>
            </w:r>
          </w:hyperlink>
        </w:p>
        <w:p w14:paraId="3267C79E" w14:textId="3182214A"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7" w:history="1">
            <w:r w:rsidRPr="00287BB0">
              <w:rPr>
                <w:rStyle w:val="Lienhypertexte"/>
                <w:b/>
                <w:noProof/>
                <w:lang w:val="fr-CA"/>
              </w:rPr>
              <w:t>Partie 4 – Conception des espaces publics</w:t>
            </w:r>
            <w:r>
              <w:rPr>
                <w:noProof/>
                <w:webHidden/>
              </w:rPr>
              <w:tab/>
            </w:r>
            <w:r>
              <w:rPr>
                <w:noProof/>
                <w:webHidden/>
              </w:rPr>
              <w:fldChar w:fldCharType="begin"/>
            </w:r>
            <w:r>
              <w:rPr>
                <w:noProof/>
                <w:webHidden/>
              </w:rPr>
              <w:instrText xml:space="preserve"> PAGEREF _Toc185527857 \h </w:instrText>
            </w:r>
            <w:r>
              <w:rPr>
                <w:noProof/>
                <w:webHidden/>
              </w:rPr>
            </w:r>
            <w:r>
              <w:rPr>
                <w:noProof/>
                <w:webHidden/>
              </w:rPr>
              <w:fldChar w:fldCharType="separate"/>
            </w:r>
            <w:r w:rsidR="00A67FA0">
              <w:rPr>
                <w:noProof/>
                <w:webHidden/>
              </w:rPr>
              <w:t>7</w:t>
            </w:r>
            <w:r>
              <w:rPr>
                <w:noProof/>
                <w:webHidden/>
              </w:rPr>
              <w:fldChar w:fldCharType="end"/>
            </w:r>
          </w:hyperlink>
        </w:p>
        <w:p w14:paraId="5261CB6B" w14:textId="285759A7"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8" w:history="1">
            <w:r w:rsidRPr="00287BB0">
              <w:rPr>
                <w:rStyle w:val="Lienhypertexte"/>
                <w:b/>
                <w:noProof/>
                <w:lang w:val="fr-CA"/>
              </w:rPr>
              <w:t>Partie 5 – Obstacles à l’accessibilité identifiés par le client, le grand public ou les employés</w:t>
            </w:r>
            <w:r>
              <w:rPr>
                <w:noProof/>
                <w:webHidden/>
              </w:rPr>
              <w:tab/>
            </w:r>
            <w:r>
              <w:rPr>
                <w:noProof/>
                <w:webHidden/>
              </w:rPr>
              <w:fldChar w:fldCharType="begin"/>
            </w:r>
            <w:r>
              <w:rPr>
                <w:noProof/>
                <w:webHidden/>
              </w:rPr>
              <w:instrText xml:space="preserve"> PAGEREF _Toc185527858 \h </w:instrText>
            </w:r>
            <w:r>
              <w:rPr>
                <w:noProof/>
                <w:webHidden/>
              </w:rPr>
            </w:r>
            <w:r>
              <w:rPr>
                <w:noProof/>
                <w:webHidden/>
              </w:rPr>
              <w:fldChar w:fldCharType="separate"/>
            </w:r>
            <w:r w:rsidR="00A67FA0">
              <w:rPr>
                <w:noProof/>
                <w:webHidden/>
              </w:rPr>
              <w:t>8</w:t>
            </w:r>
            <w:r>
              <w:rPr>
                <w:noProof/>
                <w:webHidden/>
              </w:rPr>
              <w:fldChar w:fldCharType="end"/>
            </w:r>
          </w:hyperlink>
        </w:p>
        <w:p w14:paraId="0CC5AB9B" w14:textId="12A2DBF9"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59" w:history="1">
            <w:r w:rsidRPr="00287BB0">
              <w:rPr>
                <w:rStyle w:val="Lienhypertexte"/>
                <w:b/>
                <w:noProof/>
              </w:rPr>
              <w:t>Conclusion</w:t>
            </w:r>
            <w:r>
              <w:rPr>
                <w:noProof/>
                <w:webHidden/>
              </w:rPr>
              <w:tab/>
            </w:r>
            <w:r>
              <w:rPr>
                <w:noProof/>
                <w:webHidden/>
              </w:rPr>
              <w:fldChar w:fldCharType="begin"/>
            </w:r>
            <w:r>
              <w:rPr>
                <w:noProof/>
                <w:webHidden/>
              </w:rPr>
              <w:instrText xml:space="preserve"> PAGEREF _Toc185527859 \h </w:instrText>
            </w:r>
            <w:r>
              <w:rPr>
                <w:noProof/>
                <w:webHidden/>
              </w:rPr>
            </w:r>
            <w:r>
              <w:rPr>
                <w:noProof/>
                <w:webHidden/>
              </w:rPr>
              <w:fldChar w:fldCharType="separate"/>
            </w:r>
            <w:r w:rsidR="00A67FA0">
              <w:rPr>
                <w:noProof/>
                <w:webHidden/>
              </w:rPr>
              <w:t>8</w:t>
            </w:r>
            <w:r>
              <w:rPr>
                <w:noProof/>
                <w:webHidden/>
              </w:rPr>
              <w:fldChar w:fldCharType="end"/>
            </w:r>
          </w:hyperlink>
        </w:p>
        <w:p w14:paraId="165503B9" w14:textId="10262B61" w:rsidR="0002017E" w:rsidRDefault="0002017E">
          <w:pPr>
            <w:pStyle w:val="TM2"/>
            <w:tabs>
              <w:tab w:val="right" w:leader="dot" w:pos="10337"/>
            </w:tabs>
            <w:rPr>
              <w:rFonts w:eastAsiaTheme="minorEastAsia"/>
              <w:noProof/>
              <w:kern w:val="2"/>
              <w:sz w:val="24"/>
              <w:szCs w:val="24"/>
              <w:lang w:val="en-US"/>
              <w14:ligatures w14:val="standardContextual"/>
            </w:rPr>
          </w:pPr>
          <w:hyperlink w:anchor="_Toc185527860" w:history="1">
            <w:r w:rsidRPr="00287BB0">
              <w:rPr>
                <w:rStyle w:val="Lienhypertexte"/>
                <w:b/>
                <w:noProof/>
              </w:rPr>
              <w:t>Coordonnées</w:t>
            </w:r>
            <w:r>
              <w:rPr>
                <w:noProof/>
                <w:webHidden/>
              </w:rPr>
              <w:tab/>
            </w:r>
            <w:r>
              <w:rPr>
                <w:noProof/>
                <w:webHidden/>
              </w:rPr>
              <w:fldChar w:fldCharType="begin"/>
            </w:r>
            <w:r>
              <w:rPr>
                <w:noProof/>
                <w:webHidden/>
              </w:rPr>
              <w:instrText xml:space="preserve"> PAGEREF _Toc185527860 \h </w:instrText>
            </w:r>
            <w:r>
              <w:rPr>
                <w:noProof/>
                <w:webHidden/>
              </w:rPr>
            </w:r>
            <w:r>
              <w:rPr>
                <w:noProof/>
                <w:webHidden/>
              </w:rPr>
              <w:fldChar w:fldCharType="separate"/>
            </w:r>
            <w:r w:rsidR="00A67FA0">
              <w:rPr>
                <w:noProof/>
                <w:webHidden/>
              </w:rPr>
              <w:t>8</w:t>
            </w:r>
            <w:r>
              <w:rPr>
                <w:noProof/>
                <w:webHidden/>
              </w:rPr>
              <w:fldChar w:fldCharType="end"/>
            </w:r>
          </w:hyperlink>
        </w:p>
        <w:p w14:paraId="24FFE4C6" w14:textId="567C7C57" w:rsidR="00CE151B" w:rsidRDefault="00CE151B">
          <w:r>
            <w:rPr>
              <w:b/>
              <w:bCs/>
              <w:noProof/>
            </w:rPr>
            <w:fldChar w:fldCharType="end"/>
          </w:r>
        </w:p>
      </w:sdtContent>
    </w:sdt>
    <w:p w14:paraId="07F851C1" w14:textId="77777777" w:rsidR="00CE151B" w:rsidRDefault="00CE151B" w:rsidP="00CE151B"/>
    <w:p w14:paraId="5C651A13" w14:textId="77777777" w:rsidR="00CE151B" w:rsidRDefault="00CE151B">
      <w:r>
        <w:br w:type="page"/>
      </w:r>
    </w:p>
    <w:p w14:paraId="2DA63740" w14:textId="72E699D3" w:rsidR="00885D6A" w:rsidRPr="002C1566" w:rsidRDefault="00885D6A" w:rsidP="00A15B11">
      <w:pPr>
        <w:pStyle w:val="Titre2"/>
        <w:rPr>
          <w:b/>
          <w:color w:val="auto"/>
          <w:lang w:val="fr-CA"/>
        </w:rPr>
      </w:pPr>
      <w:bookmarkStart w:id="0" w:name="_Toc185527849"/>
      <w:r w:rsidRPr="002C1566">
        <w:rPr>
          <w:b/>
          <w:color w:val="auto"/>
          <w:lang w:val="fr-CA"/>
        </w:rPr>
        <w:lastRenderedPageBreak/>
        <w:t xml:space="preserve">Description </w:t>
      </w:r>
      <w:r w:rsidR="002C1566" w:rsidRPr="002C1566">
        <w:rPr>
          <w:b/>
          <w:color w:val="auto"/>
          <w:lang w:val="fr-CA"/>
        </w:rPr>
        <w:t>du Bureau des s</w:t>
      </w:r>
      <w:r w:rsidR="002C1566">
        <w:rPr>
          <w:b/>
          <w:color w:val="auto"/>
          <w:lang w:val="fr-CA"/>
        </w:rPr>
        <w:t>ervices à la jeunesse</w:t>
      </w:r>
      <w:bookmarkEnd w:id="0"/>
    </w:p>
    <w:p w14:paraId="5C19D70C" w14:textId="7E9389E2" w:rsidR="000668E5" w:rsidRPr="00E73197" w:rsidRDefault="00E73197" w:rsidP="00A15B11">
      <w:pPr>
        <w:rPr>
          <w:lang w:val="fr-CA"/>
        </w:rPr>
      </w:pPr>
      <w:r w:rsidRPr="00E73197">
        <w:rPr>
          <w:lang w:val="fr-CA"/>
        </w:rPr>
        <w:t>Depuis plus de 60</w:t>
      </w:r>
      <w:r w:rsidR="00E22559">
        <w:rPr>
          <w:lang w:val="fr-CA"/>
        </w:rPr>
        <w:t> </w:t>
      </w:r>
      <w:r w:rsidRPr="00E73197">
        <w:rPr>
          <w:lang w:val="fr-CA"/>
        </w:rPr>
        <w:t>ans, le Bureau des services à la jeunesse (BSJ) est un chef de file communautaire qui aide les jeunes et leurs familles à accéder aux services et aux programmes dont ils ont besoin pour mener une vie heureuse et saine. Au fil du temps, nous sommes devenus des experts de confiance dans plusieurs domaines clés</w:t>
      </w:r>
      <w:r w:rsidR="00A67FA0">
        <w:rPr>
          <w:lang w:val="fr-CA"/>
        </w:rPr>
        <w:t> </w:t>
      </w:r>
      <w:r w:rsidRPr="00E73197">
        <w:rPr>
          <w:lang w:val="fr-CA"/>
        </w:rPr>
        <w:t>: la santé mentale des jeunes, les services communautaires, la justice pour les jeunes, l’engagement des jeunes et l’emploi des jeunes.</w:t>
      </w:r>
    </w:p>
    <w:p w14:paraId="665BC564" w14:textId="20CC2E2D" w:rsidR="00885D6A" w:rsidRPr="001634B9" w:rsidRDefault="00A2089F" w:rsidP="00A15B11">
      <w:pPr>
        <w:pStyle w:val="Titre2"/>
        <w:rPr>
          <w:b/>
          <w:color w:val="auto"/>
          <w:lang w:val="fr-CA"/>
        </w:rPr>
      </w:pPr>
      <w:bookmarkStart w:id="1" w:name="_Toc185527850"/>
      <w:r w:rsidRPr="001634B9">
        <w:rPr>
          <w:b/>
          <w:color w:val="auto"/>
          <w:lang w:val="fr-CA"/>
        </w:rPr>
        <w:t>Objectif</w:t>
      </w:r>
      <w:bookmarkEnd w:id="1"/>
    </w:p>
    <w:p w14:paraId="34F60ECC" w14:textId="59CA7B21" w:rsidR="00511ECD" w:rsidRPr="00896181" w:rsidRDefault="00B54542" w:rsidP="00A15B11">
      <w:pPr>
        <w:rPr>
          <w:lang w:val="fr-CA"/>
        </w:rPr>
      </w:pPr>
      <w:r w:rsidRPr="00B54542">
        <w:rPr>
          <w:lang w:val="fr-CA"/>
        </w:rPr>
        <w:t>Le plan d’accessibilité pluriannuel a pour but de décrire la stratégie du BSJ visant à identifier, à éliminer et à prévenir les obstacles auxquels les clients, les employés et les membres du public peuvent être confrontés lorsqu’ils interagissent avec nous. Ce plan abordera également la stratégie du BSJ visant à satisfaire à toutes les exigences de la Loi sur l’accessibilité pour les personnes handicapées de l’Ontario (LAPHO).</w:t>
      </w:r>
    </w:p>
    <w:p w14:paraId="5EA264F3" w14:textId="53F5682B" w:rsidR="00A1247E" w:rsidRPr="00B505A6" w:rsidRDefault="00B505A6" w:rsidP="00A15B11">
      <w:pPr>
        <w:pStyle w:val="Titre2"/>
        <w:rPr>
          <w:b/>
          <w:color w:val="auto"/>
          <w:lang w:val="fr-CA"/>
        </w:rPr>
      </w:pPr>
      <w:bookmarkStart w:id="2" w:name="_Toc185527851"/>
      <w:r w:rsidRPr="00B505A6">
        <w:rPr>
          <w:b/>
          <w:color w:val="auto"/>
          <w:lang w:val="fr-CA"/>
        </w:rPr>
        <w:t>Réalisations passées pour éliminer et prévenir les obstacles</w:t>
      </w:r>
      <w:bookmarkEnd w:id="2"/>
    </w:p>
    <w:p w14:paraId="39263A92" w14:textId="0E6E2CC7" w:rsidR="001634B9" w:rsidRPr="001634B9" w:rsidRDefault="001634B9" w:rsidP="00A15B11">
      <w:pPr>
        <w:rPr>
          <w:lang w:val="fr-CA"/>
        </w:rPr>
      </w:pPr>
      <w:r w:rsidRPr="001634B9">
        <w:rPr>
          <w:lang w:val="fr-CA"/>
        </w:rPr>
        <w:t>L</w:t>
      </w:r>
      <w:r>
        <w:rPr>
          <w:lang w:val="fr-CA"/>
        </w:rPr>
        <w:t>’</w:t>
      </w:r>
      <w:r w:rsidRPr="001634B9">
        <w:rPr>
          <w:lang w:val="fr-CA"/>
        </w:rPr>
        <w:t>accessibilité est intégrée à tous nos programmes et services.</w:t>
      </w:r>
    </w:p>
    <w:p w14:paraId="0AA1D785" w14:textId="77777777" w:rsidR="001634B9" w:rsidRPr="001634B9" w:rsidRDefault="001634B9" w:rsidP="00A15B11">
      <w:pPr>
        <w:rPr>
          <w:lang w:val="fr-CA"/>
        </w:rPr>
      </w:pPr>
      <w:r w:rsidRPr="001634B9">
        <w:rPr>
          <w:lang w:val="fr-CA"/>
        </w:rPr>
        <w:t>Le BSJ forme chaque personne dès que possible après son embauche et offre une formation sur tout changement apporté aux politiques du BSJ.</w:t>
      </w:r>
    </w:p>
    <w:p w14:paraId="7DD5D30B" w14:textId="77777777" w:rsidR="001634B9" w:rsidRPr="001634B9" w:rsidRDefault="001634B9" w:rsidP="00A15B11">
      <w:pPr>
        <w:rPr>
          <w:lang w:val="fr-CA"/>
        </w:rPr>
      </w:pPr>
      <w:r w:rsidRPr="001634B9">
        <w:rPr>
          <w:lang w:val="fr-CA"/>
        </w:rPr>
        <w:t>Le BSJ conserve des dossiers sur la formation dispensée, y compris les dates auxquelles la formation a été dispensée et le nombre de personnes à qui elle a été dispensée.</w:t>
      </w:r>
    </w:p>
    <w:p w14:paraId="64CF922D" w14:textId="5DB5AC54" w:rsidR="00A1247E" w:rsidRPr="001634B9" w:rsidRDefault="001634B9" w:rsidP="00A15B11">
      <w:pPr>
        <w:rPr>
          <w:lang w:val="fr-CA"/>
        </w:rPr>
      </w:pPr>
      <w:r w:rsidRPr="001634B9">
        <w:rPr>
          <w:lang w:val="fr-CA"/>
        </w:rPr>
        <w:t>Nous continuons d</w:t>
      </w:r>
      <w:r w:rsidR="00A67FA0">
        <w:rPr>
          <w:lang w:val="fr-CA"/>
        </w:rPr>
        <w:t>’</w:t>
      </w:r>
      <w:r w:rsidRPr="001634B9">
        <w:rPr>
          <w:lang w:val="fr-CA"/>
        </w:rPr>
        <w:t>élaborer des politiques d</w:t>
      </w:r>
      <w:r w:rsidR="00A67FA0">
        <w:rPr>
          <w:lang w:val="fr-CA"/>
        </w:rPr>
        <w:t>’</w:t>
      </w:r>
      <w:r w:rsidRPr="001634B9">
        <w:rPr>
          <w:lang w:val="fr-CA"/>
        </w:rPr>
        <w:t>accessibilité, de les publier sur le site Web du BSJ, de rendre nos documents disponibles dans des formats alternatifs et</w:t>
      </w:r>
      <w:r w:rsidR="00E17146">
        <w:rPr>
          <w:lang w:val="fr-CA"/>
        </w:rPr>
        <w:t>(</w:t>
      </w:r>
      <w:r w:rsidRPr="001634B9">
        <w:rPr>
          <w:lang w:val="fr-CA"/>
        </w:rPr>
        <w:t>ou</w:t>
      </w:r>
      <w:r w:rsidR="00E17146">
        <w:rPr>
          <w:lang w:val="fr-CA"/>
        </w:rPr>
        <w:t>)</w:t>
      </w:r>
      <w:r w:rsidRPr="001634B9">
        <w:rPr>
          <w:lang w:val="fr-CA"/>
        </w:rPr>
        <w:t xml:space="preserve"> avec un support de communication, de maintenir un processus accessible de réception et de réponse aux commentaires, de fournir des formats accessibles et un support de communication aux employés et aux clients.</w:t>
      </w:r>
    </w:p>
    <w:p w14:paraId="0A27AD34" w14:textId="580BE273" w:rsidR="00A1247E" w:rsidRPr="00B505A6" w:rsidRDefault="00B505A6" w:rsidP="00A15B11">
      <w:pPr>
        <w:pStyle w:val="Titre2"/>
        <w:rPr>
          <w:b/>
          <w:color w:val="auto"/>
          <w:lang w:val="fr-CA"/>
        </w:rPr>
      </w:pPr>
      <w:bookmarkStart w:id="3" w:name="_Toc185527852"/>
      <w:r w:rsidRPr="00B505A6">
        <w:rPr>
          <w:b/>
          <w:color w:val="auto"/>
          <w:lang w:val="fr-CA"/>
        </w:rPr>
        <w:t>Déclaration d</w:t>
      </w:r>
      <w:r>
        <w:rPr>
          <w:b/>
          <w:color w:val="auto"/>
          <w:lang w:val="fr-CA"/>
        </w:rPr>
        <w:t>’</w:t>
      </w:r>
      <w:r w:rsidRPr="00B505A6">
        <w:rPr>
          <w:b/>
          <w:color w:val="auto"/>
          <w:lang w:val="fr-CA"/>
        </w:rPr>
        <w:t>engagement</w:t>
      </w:r>
      <w:bookmarkEnd w:id="3"/>
    </w:p>
    <w:p w14:paraId="2D9176A1" w14:textId="77777777" w:rsidR="00896181" w:rsidRPr="00896181" w:rsidRDefault="00896181" w:rsidP="00A15B11">
      <w:pPr>
        <w:rPr>
          <w:lang w:val="fr-CA"/>
        </w:rPr>
      </w:pPr>
      <w:r w:rsidRPr="00896181">
        <w:rPr>
          <w:lang w:val="fr-CA"/>
        </w:rPr>
        <w:t>Le BSJ continue de s’efforcer de répondre aux besoins de ses employés et de ses clients handicapés et travaille sans relâche pour éliminer et prévenir les obstacles à l’accessibilité.</w:t>
      </w:r>
    </w:p>
    <w:p w14:paraId="4080C6CB" w14:textId="77777777" w:rsidR="00896181" w:rsidRPr="00896181" w:rsidRDefault="00896181" w:rsidP="00A15B11">
      <w:pPr>
        <w:rPr>
          <w:lang w:val="fr-CA"/>
        </w:rPr>
      </w:pPr>
      <w:r w:rsidRPr="00896181">
        <w:rPr>
          <w:lang w:val="fr-CA"/>
        </w:rPr>
        <w:t>Le BSJ s’engage à satisfaire aux exigences de la Loi de 2005 sur l’accessibilité pour les personnes handicapées de l’Ontario.</w:t>
      </w:r>
    </w:p>
    <w:p w14:paraId="27573E74" w14:textId="77777777" w:rsidR="00896181" w:rsidRPr="00896181" w:rsidRDefault="00896181" w:rsidP="00A15B11">
      <w:pPr>
        <w:rPr>
          <w:lang w:val="fr-CA"/>
        </w:rPr>
      </w:pPr>
      <w:r w:rsidRPr="00896181">
        <w:rPr>
          <w:lang w:val="fr-CA"/>
        </w:rPr>
        <w:t>Ce plan d’accessibilité décrit les étapes et les mesures que nous prenons pour satisfaire à ces exigences, améliorer les possibilités pour les personnes handicapées et offrir des programmes, des services, des emplois et des possibilités de bénévolat en adoptant les principes de dignité, d’indépendance, d’intégration et d’égalité des chances.</w:t>
      </w:r>
    </w:p>
    <w:p w14:paraId="6CDC507B" w14:textId="665177A1" w:rsidR="00896181" w:rsidRPr="00896181" w:rsidRDefault="00896181" w:rsidP="00A15B11">
      <w:pPr>
        <w:rPr>
          <w:lang w:val="fr-CA"/>
        </w:rPr>
      </w:pPr>
      <w:r w:rsidRPr="00896181">
        <w:rPr>
          <w:lang w:val="fr-CA"/>
        </w:rPr>
        <w:t xml:space="preserve">Le plan est révisé et mis à jour au moins une fois tous les </w:t>
      </w:r>
      <w:r w:rsidR="00E17146">
        <w:rPr>
          <w:lang w:val="fr-CA"/>
        </w:rPr>
        <w:t>cinq</w:t>
      </w:r>
      <w:r w:rsidR="00A67FA0">
        <w:rPr>
          <w:lang w:val="fr-CA"/>
        </w:rPr>
        <w:t> </w:t>
      </w:r>
      <w:r w:rsidRPr="00896181">
        <w:rPr>
          <w:lang w:val="fr-CA"/>
        </w:rPr>
        <w:t>ans.</w:t>
      </w:r>
    </w:p>
    <w:p w14:paraId="5E80C6B0" w14:textId="77777777" w:rsidR="00511ECD" w:rsidRPr="00896181" w:rsidRDefault="00511ECD" w:rsidP="00511ECD">
      <w:pPr>
        <w:pStyle w:val="Titre2"/>
        <w:rPr>
          <w:b/>
          <w:color w:val="auto"/>
          <w:lang w:val="fr-CA"/>
        </w:rPr>
      </w:pPr>
    </w:p>
    <w:p w14:paraId="0D5335A4" w14:textId="44EC1792" w:rsidR="00032EDA" w:rsidRPr="00A17A10" w:rsidRDefault="00A17A10" w:rsidP="00511ECD">
      <w:pPr>
        <w:pStyle w:val="Titre2"/>
        <w:rPr>
          <w:b/>
          <w:color w:val="auto"/>
          <w:lang w:val="fr-CA"/>
        </w:rPr>
      </w:pPr>
      <w:bookmarkStart w:id="4" w:name="_Toc185527853"/>
      <w:r w:rsidRPr="00A17A10">
        <w:rPr>
          <w:b/>
          <w:color w:val="auto"/>
          <w:lang w:val="fr-CA"/>
        </w:rPr>
        <w:t>Plan de conformité en matière d</w:t>
      </w:r>
      <w:r>
        <w:rPr>
          <w:b/>
          <w:color w:val="auto"/>
          <w:lang w:val="fr-CA"/>
        </w:rPr>
        <w:t>’</w:t>
      </w:r>
      <w:r w:rsidRPr="00A17A10">
        <w:rPr>
          <w:b/>
          <w:color w:val="auto"/>
          <w:lang w:val="fr-CA"/>
        </w:rPr>
        <w:t>accessibilité</w:t>
      </w:r>
      <w:bookmarkEnd w:id="4"/>
    </w:p>
    <w:p w14:paraId="72644F59" w14:textId="4D5E7A16" w:rsidR="003B1F61" w:rsidRPr="003B1F61" w:rsidRDefault="003B1F61" w:rsidP="003B1F61">
      <w:pPr>
        <w:rPr>
          <w:lang w:val="fr-CA"/>
        </w:rPr>
      </w:pPr>
      <w:r w:rsidRPr="003B1F61">
        <w:rPr>
          <w:lang w:val="fr-CA"/>
        </w:rPr>
        <w:t>Partie</w:t>
      </w:r>
      <w:r w:rsidR="00A67FA0">
        <w:rPr>
          <w:lang w:val="fr-CA"/>
        </w:rPr>
        <w:t> </w:t>
      </w:r>
      <w:r w:rsidRPr="003B1F61">
        <w:rPr>
          <w:lang w:val="fr-CA"/>
        </w:rPr>
        <w:t xml:space="preserve">1 </w:t>
      </w:r>
      <w:r w:rsidR="00A67FA0">
        <w:rPr>
          <w:lang w:val="fr-CA"/>
        </w:rPr>
        <w:t>—</w:t>
      </w:r>
      <w:r w:rsidRPr="003B1F61">
        <w:rPr>
          <w:lang w:val="fr-CA"/>
        </w:rPr>
        <w:t xml:space="preserve"> Norme sur le service à la clientèle</w:t>
      </w:r>
    </w:p>
    <w:p w14:paraId="0D44FC5A" w14:textId="03053A06" w:rsidR="003B1F61" w:rsidRPr="003B1F61" w:rsidRDefault="003B1F61" w:rsidP="003B1F61">
      <w:pPr>
        <w:rPr>
          <w:lang w:val="fr-CA"/>
        </w:rPr>
      </w:pPr>
      <w:r w:rsidRPr="003B1F61">
        <w:rPr>
          <w:lang w:val="fr-CA"/>
        </w:rPr>
        <w:t>Partie</w:t>
      </w:r>
      <w:r w:rsidR="00A67FA0">
        <w:rPr>
          <w:lang w:val="fr-CA"/>
        </w:rPr>
        <w:t> </w:t>
      </w:r>
      <w:r w:rsidRPr="003B1F61">
        <w:rPr>
          <w:lang w:val="fr-CA"/>
        </w:rPr>
        <w:t xml:space="preserve">2 </w:t>
      </w:r>
      <w:r w:rsidR="00A67FA0">
        <w:rPr>
          <w:lang w:val="fr-CA"/>
        </w:rPr>
        <w:t>—</w:t>
      </w:r>
      <w:r w:rsidRPr="003B1F61">
        <w:rPr>
          <w:lang w:val="fr-CA"/>
        </w:rPr>
        <w:t xml:space="preserve"> Norme sur l</w:t>
      </w:r>
      <w:r w:rsidR="00A67FA0">
        <w:rPr>
          <w:lang w:val="fr-CA"/>
        </w:rPr>
        <w:t>’</w:t>
      </w:r>
      <w:r w:rsidRPr="003B1F61">
        <w:rPr>
          <w:lang w:val="fr-CA"/>
        </w:rPr>
        <w:t>information et la communication</w:t>
      </w:r>
    </w:p>
    <w:p w14:paraId="2A91B547" w14:textId="603671E4" w:rsidR="003B1F61" w:rsidRPr="003B1F61" w:rsidRDefault="003B1F61" w:rsidP="003B1F61">
      <w:pPr>
        <w:rPr>
          <w:lang w:val="fr-CA"/>
        </w:rPr>
      </w:pPr>
      <w:r w:rsidRPr="003B1F61">
        <w:rPr>
          <w:lang w:val="fr-CA"/>
        </w:rPr>
        <w:t>Partie</w:t>
      </w:r>
      <w:r w:rsidR="00A67FA0">
        <w:rPr>
          <w:lang w:val="fr-CA"/>
        </w:rPr>
        <w:t> </w:t>
      </w:r>
      <w:r w:rsidRPr="003B1F61">
        <w:rPr>
          <w:lang w:val="fr-CA"/>
        </w:rPr>
        <w:t xml:space="preserve">3 </w:t>
      </w:r>
      <w:r w:rsidR="00A67FA0">
        <w:rPr>
          <w:lang w:val="fr-CA"/>
        </w:rPr>
        <w:t>—</w:t>
      </w:r>
      <w:r w:rsidRPr="003B1F61">
        <w:rPr>
          <w:lang w:val="fr-CA"/>
        </w:rPr>
        <w:t xml:space="preserve"> Norme sur l</w:t>
      </w:r>
      <w:r w:rsidR="00A67FA0">
        <w:rPr>
          <w:lang w:val="fr-CA"/>
        </w:rPr>
        <w:t>’</w:t>
      </w:r>
      <w:r w:rsidRPr="003B1F61">
        <w:rPr>
          <w:lang w:val="fr-CA"/>
        </w:rPr>
        <w:t>emploi</w:t>
      </w:r>
    </w:p>
    <w:p w14:paraId="32E4418E" w14:textId="0A6CF348" w:rsidR="003B1F61" w:rsidRPr="003B1F61" w:rsidRDefault="003B1F61" w:rsidP="003B1F61">
      <w:pPr>
        <w:rPr>
          <w:lang w:val="fr-CA"/>
        </w:rPr>
      </w:pPr>
      <w:r w:rsidRPr="003B1F61">
        <w:rPr>
          <w:lang w:val="fr-CA"/>
        </w:rPr>
        <w:t>Partie</w:t>
      </w:r>
      <w:r w:rsidR="00A67FA0">
        <w:rPr>
          <w:lang w:val="fr-CA"/>
        </w:rPr>
        <w:t> </w:t>
      </w:r>
      <w:r w:rsidRPr="003B1F61">
        <w:rPr>
          <w:lang w:val="fr-CA"/>
        </w:rPr>
        <w:t xml:space="preserve">4 </w:t>
      </w:r>
      <w:r w:rsidR="00A67FA0">
        <w:rPr>
          <w:lang w:val="fr-CA"/>
        </w:rPr>
        <w:t>—</w:t>
      </w:r>
      <w:r w:rsidRPr="003B1F61">
        <w:rPr>
          <w:lang w:val="fr-CA"/>
        </w:rPr>
        <w:t xml:space="preserve"> Conception des espaces publics</w:t>
      </w:r>
    </w:p>
    <w:p w14:paraId="27EBE125" w14:textId="603F8D8C" w:rsidR="00032EDA" w:rsidRPr="003B1F61" w:rsidRDefault="003B1F61" w:rsidP="003B1F61">
      <w:pPr>
        <w:rPr>
          <w:lang w:val="fr-CA"/>
        </w:rPr>
      </w:pPr>
      <w:r w:rsidRPr="003B1F61">
        <w:rPr>
          <w:lang w:val="fr-CA"/>
        </w:rPr>
        <w:t>Partie</w:t>
      </w:r>
      <w:r w:rsidR="00A67FA0">
        <w:rPr>
          <w:lang w:val="fr-CA"/>
        </w:rPr>
        <w:t> </w:t>
      </w:r>
      <w:r w:rsidRPr="003B1F61">
        <w:rPr>
          <w:lang w:val="fr-CA"/>
        </w:rPr>
        <w:t xml:space="preserve">5 </w:t>
      </w:r>
      <w:r w:rsidR="00A67FA0">
        <w:rPr>
          <w:lang w:val="fr-CA"/>
        </w:rPr>
        <w:t>—</w:t>
      </w:r>
      <w:r w:rsidRPr="003B1F61">
        <w:rPr>
          <w:lang w:val="fr-CA"/>
        </w:rPr>
        <w:t xml:space="preserve"> Obstacles à l</w:t>
      </w:r>
      <w:r w:rsidR="00A67FA0">
        <w:rPr>
          <w:lang w:val="fr-CA"/>
        </w:rPr>
        <w:t>’</w:t>
      </w:r>
      <w:r w:rsidRPr="003B1F61">
        <w:rPr>
          <w:lang w:val="fr-CA"/>
        </w:rPr>
        <w:t>accessibilité identifiés par le client, le grand public ou les employés</w:t>
      </w:r>
    </w:p>
    <w:p w14:paraId="1F2920B6" w14:textId="33B4295A" w:rsidR="00697AA2" w:rsidRPr="003B7071" w:rsidRDefault="003B7071" w:rsidP="00511ECD">
      <w:pPr>
        <w:pStyle w:val="Titre2"/>
        <w:rPr>
          <w:b/>
          <w:color w:val="auto"/>
          <w:lang w:val="fr-CA"/>
        </w:rPr>
      </w:pPr>
      <w:bookmarkStart w:id="5" w:name="_Toc185527854"/>
      <w:r w:rsidRPr="003B7071">
        <w:rPr>
          <w:b/>
          <w:color w:val="auto"/>
          <w:lang w:val="fr-CA"/>
        </w:rPr>
        <w:lastRenderedPageBreak/>
        <w:t>Partie</w:t>
      </w:r>
      <w:r w:rsidR="00A67FA0">
        <w:rPr>
          <w:b/>
          <w:color w:val="auto"/>
          <w:lang w:val="fr-CA"/>
        </w:rPr>
        <w:t> </w:t>
      </w:r>
      <w:r w:rsidRPr="003B7071">
        <w:rPr>
          <w:b/>
          <w:color w:val="auto"/>
          <w:lang w:val="fr-CA"/>
        </w:rPr>
        <w:t xml:space="preserve">1 </w:t>
      </w:r>
      <w:r w:rsidR="00A67FA0">
        <w:rPr>
          <w:b/>
          <w:color w:val="auto"/>
          <w:lang w:val="fr-CA"/>
        </w:rPr>
        <w:t>—</w:t>
      </w:r>
      <w:r w:rsidRPr="003B7071">
        <w:rPr>
          <w:b/>
          <w:color w:val="auto"/>
          <w:lang w:val="fr-CA"/>
        </w:rPr>
        <w:t xml:space="preserve"> Norme de service à la clientèle</w:t>
      </w:r>
      <w:bookmarkEnd w:id="5"/>
    </w:p>
    <w:tbl>
      <w:tblPr>
        <w:tblStyle w:val="Grilledutableau"/>
        <w:tblW w:w="10627" w:type="dxa"/>
        <w:tblLook w:val="04A0" w:firstRow="1" w:lastRow="0" w:firstColumn="1" w:lastColumn="0" w:noHBand="0" w:noVBand="1"/>
      </w:tblPr>
      <w:tblGrid>
        <w:gridCol w:w="3114"/>
        <w:gridCol w:w="3969"/>
        <w:gridCol w:w="1276"/>
        <w:gridCol w:w="1133"/>
        <w:gridCol w:w="1135"/>
      </w:tblGrid>
      <w:tr w:rsidR="001B25C0" w14:paraId="396BDDC6" w14:textId="77777777" w:rsidTr="00705FFC">
        <w:tc>
          <w:tcPr>
            <w:tcW w:w="3114" w:type="dxa"/>
            <w:shd w:val="clear" w:color="auto" w:fill="FBE4D5" w:themeFill="accent2" w:themeFillTint="33"/>
          </w:tcPr>
          <w:p w14:paraId="07D8988C" w14:textId="75435EF3" w:rsidR="00032EDA" w:rsidRPr="00320A86" w:rsidRDefault="00320A86" w:rsidP="00511ECD">
            <w:pPr>
              <w:rPr>
                <w:sz w:val="18"/>
                <w:szCs w:val="18"/>
                <w:lang w:val="fr-CA"/>
              </w:rPr>
            </w:pPr>
            <w:r w:rsidRPr="00320A86">
              <w:rPr>
                <w:sz w:val="18"/>
                <w:szCs w:val="18"/>
                <w:lang w:val="fr-CA"/>
              </w:rPr>
              <w:t>Exigences en matière d</w:t>
            </w:r>
            <w:r>
              <w:rPr>
                <w:sz w:val="18"/>
                <w:szCs w:val="18"/>
                <w:lang w:val="fr-CA"/>
              </w:rPr>
              <w:t>’</w:t>
            </w:r>
            <w:r w:rsidRPr="00320A86">
              <w:rPr>
                <w:sz w:val="18"/>
                <w:szCs w:val="18"/>
                <w:lang w:val="fr-CA"/>
              </w:rPr>
              <w:t>accessibilité</w:t>
            </w:r>
          </w:p>
        </w:tc>
        <w:tc>
          <w:tcPr>
            <w:tcW w:w="3969" w:type="dxa"/>
            <w:shd w:val="clear" w:color="auto" w:fill="FBE4D5" w:themeFill="accent2" w:themeFillTint="33"/>
          </w:tcPr>
          <w:p w14:paraId="1B60EFB4" w14:textId="4355C234" w:rsidR="00032EDA" w:rsidRPr="00032EDA" w:rsidRDefault="00320A86" w:rsidP="00511ECD">
            <w:pPr>
              <w:rPr>
                <w:sz w:val="18"/>
                <w:szCs w:val="18"/>
              </w:rPr>
            </w:pPr>
            <w:proofErr w:type="spellStart"/>
            <w:r>
              <w:rPr>
                <w:sz w:val="18"/>
                <w:szCs w:val="18"/>
              </w:rPr>
              <w:t>Commentaires</w:t>
            </w:r>
            <w:proofErr w:type="spellEnd"/>
            <w:r>
              <w:rPr>
                <w:sz w:val="18"/>
                <w:szCs w:val="18"/>
              </w:rPr>
              <w:t>/</w:t>
            </w:r>
            <w:proofErr w:type="spellStart"/>
            <w:r>
              <w:rPr>
                <w:sz w:val="18"/>
                <w:szCs w:val="18"/>
              </w:rPr>
              <w:t>Stratégie</w:t>
            </w:r>
            <w:proofErr w:type="spellEnd"/>
          </w:p>
        </w:tc>
        <w:tc>
          <w:tcPr>
            <w:tcW w:w="1276" w:type="dxa"/>
            <w:shd w:val="clear" w:color="auto" w:fill="FBE4D5" w:themeFill="accent2" w:themeFillTint="33"/>
          </w:tcPr>
          <w:p w14:paraId="70D892BF" w14:textId="508B8833" w:rsidR="00032EDA" w:rsidRPr="00032EDA" w:rsidRDefault="002D7A97" w:rsidP="00511ECD">
            <w:pPr>
              <w:rPr>
                <w:sz w:val="18"/>
                <w:szCs w:val="18"/>
              </w:rPr>
            </w:pPr>
            <w:proofErr w:type="spellStart"/>
            <w:r>
              <w:rPr>
                <w:sz w:val="18"/>
                <w:szCs w:val="18"/>
              </w:rPr>
              <w:t>Responsable</w:t>
            </w:r>
            <w:proofErr w:type="spellEnd"/>
          </w:p>
        </w:tc>
        <w:tc>
          <w:tcPr>
            <w:tcW w:w="1133" w:type="dxa"/>
            <w:shd w:val="clear" w:color="auto" w:fill="FBE4D5" w:themeFill="accent2" w:themeFillTint="33"/>
          </w:tcPr>
          <w:p w14:paraId="3F8298BB" w14:textId="37C12CD5" w:rsidR="00032EDA" w:rsidRPr="00032EDA" w:rsidRDefault="002D7A97" w:rsidP="00511ECD">
            <w:pPr>
              <w:rPr>
                <w:sz w:val="18"/>
                <w:szCs w:val="18"/>
              </w:rPr>
            </w:pPr>
            <w:r>
              <w:rPr>
                <w:sz w:val="18"/>
                <w:szCs w:val="18"/>
              </w:rPr>
              <w:t xml:space="preserve">Date </w:t>
            </w:r>
            <w:proofErr w:type="spellStart"/>
            <w:r>
              <w:rPr>
                <w:sz w:val="18"/>
                <w:szCs w:val="18"/>
              </w:rPr>
              <w:t>limite</w:t>
            </w:r>
            <w:proofErr w:type="spellEnd"/>
          </w:p>
        </w:tc>
        <w:tc>
          <w:tcPr>
            <w:tcW w:w="1135" w:type="dxa"/>
            <w:shd w:val="clear" w:color="auto" w:fill="FBE4D5" w:themeFill="accent2" w:themeFillTint="33"/>
          </w:tcPr>
          <w:p w14:paraId="102A14C7" w14:textId="447A27C3" w:rsidR="00032EDA" w:rsidRPr="00032EDA" w:rsidRDefault="00032EDA" w:rsidP="00511ECD">
            <w:pPr>
              <w:rPr>
                <w:sz w:val="18"/>
                <w:szCs w:val="18"/>
              </w:rPr>
            </w:pPr>
            <w:proofErr w:type="spellStart"/>
            <w:r w:rsidRPr="00032EDA">
              <w:rPr>
                <w:sz w:val="18"/>
                <w:szCs w:val="18"/>
              </w:rPr>
              <w:t>Statu</w:t>
            </w:r>
            <w:r w:rsidR="00E11B55">
              <w:rPr>
                <w:sz w:val="18"/>
                <w:szCs w:val="18"/>
              </w:rPr>
              <w:t>t</w:t>
            </w:r>
            <w:proofErr w:type="spellEnd"/>
          </w:p>
        </w:tc>
      </w:tr>
      <w:tr w:rsidR="001B25C0" w14:paraId="7A0214CC" w14:textId="77777777" w:rsidTr="00705FFC">
        <w:tc>
          <w:tcPr>
            <w:tcW w:w="3114" w:type="dxa"/>
          </w:tcPr>
          <w:p w14:paraId="7A27D9B4" w14:textId="1B65F115" w:rsidR="00032EDA" w:rsidRPr="006F2DCF" w:rsidRDefault="006F2DCF" w:rsidP="00511ECD">
            <w:pPr>
              <w:rPr>
                <w:sz w:val="18"/>
                <w:szCs w:val="18"/>
                <w:lang w:val="fr-CA"/>
              </w:rPr>
            </w:pPr>
            <w:r w:rsidRPr="006F2DCF">
              <w:rPr>
                <w:sz w:val="18"/>
                <w:szCs w:val="18"/>
                <w:lang w:val="fr-CA"/>
              </w:rPr>
              <w:t>Mise en place de politiques d</w:t>
            </w:r>
            <w:r w:rsidR="00D51FED">
              <w:rPr>
                <w:sz w:val="18"/>
                <w:szCs w:val="18"/>
                <w:lang w:val="fr-CA"/>
              </w:rPr>
              <w:t>’</w:t>
            </w:r>
            <w:r w:rsidRPr="006F2DCF">
              <w:rPr>
                <w:sz w:val="18"/>
                <w:szCs w:val="18"/>
                <w:lang w:val="fr-CA"/>
              </w:rPr>
              <w:t>accessibilité</w:t>
            </w:r>
          </w:p>
        </w:tc>
        <w:tc>
          <w:tcPr>
            <w:tcW w:w="3969" w:type="dxa"/>
          </w:tcPr>
          <w:p w14:paraId="02F89ED3" w14:textId="21A325E2" w:rsidR="000A4541" w:rsidRPr="000A4541" w:rsidRDefault="000A4541" w:rsidP="000A4541">
            <w:pPr>
              <w:rPr>
                <w:sz w:val="18"/>
                <w:szCs w:val="18"/>
                <w:lang w:val="fr-CA"/>
              </w:rPr>
            </w:pPr>
            <w:r w:rsidRPr="000A4541">
              <w:rPr>
                <w:sz w:val="18"/>
                <w:szCs w:val="18"/>
                <w:lang w:val="fr-CA"/>
              </w:rPr>
              <w:t>Instructions sur la manière d</w:t>
            </w:r>
            <w:r>
              <w:rPr>
                <w:sz w:val="18"/>
                <w:szCs w:val="18"/>
                <w:lang w:val="fr-CA"/>
              </w:rPr>
              <w:t>’</w:t>
            </w:r>
            <w:r w:rsidRPr="000A4541">
              <w:rPr>
                <w:sz w:val="18"/>
                <w:szCs w:val="18"/>
                <w:lang w:val="fr-CA"/>
              </w:rPr>
              <w:t>interagir et de communiquer avec les clients présentant divers types de handicaps</w:t>
            </w:r>
            <w:r w:rsidR="00A67FA0">
              <w:rPr>
                <w:sz w:val="18"/>
                <w:szCs w:val="18"/>
                <w:lang w:val="fr-CA"/>
              </w:rPr>
              <w:t> </w:t>
            </w:r>
            <w:r w:rsidRPr="000A4541">
              <w:rPr>
                <w:sz w:val="18"/>
                <w:szCs w:val="18"/>
                <w:lang w:val="fr-CA"/>
              </w:rPr>
              <w:t>;</w:t>
            </w:r>
          </w:p>
          <w:p w14:paraId="16F1ACD1" w14:textId="18B06204" w:rsidR="000A4541" w:rsidRPr="000A4541" w:rsidRDefault="000A4541" w:rsidP="000A4541">
            <w:pPr>
              <w:rPr>
                <w:sz w:val="18"/>
                <w:szCs w:val="18"/>
                <w:lang w:val="fr-CA"/>
              </w:rPr>
            </w:pPr>
            <w:r w:rsidRPr="000A4541">
              <w:rPr>
                <w:sz w:val="18"/>
                <w:szCs w:val="18"/>
                <w:lang w:val="fr-CA"/>
              </w:rPr>
              <w:t>• Instructions sur la manière d</w:t>
            </w:r>
            <w:r w:rsidR="0099345B">
              <w:rPr>
                <w:sz w:val="18"/>
                <w:szCs w:val="18"/>
                <w:lang w:val="fr-CA"/>
              </w:rPr>
              <w:t>’</w:t>
            </w:r>
            <w:r w:rsidRPr="000A4541">
              <w:rPr>
                <w:sz w:val="18"/>
                <w:szCs w:val="18"/>
                <w:lang w:val="fr-CA"/>
              </w:rPr>
              <w:t>interagir avec les personnes handicapées qui utilisent des appareils fonctionnels</w:t>
            </w:r>
            <w:r w:rsidR="00A67FA0">
              <w:rPr>
                <w:sz w:val="18"/>
                <w:szCs w:val="18"/>
                <w:lang w:val="fr-CA"/>
              </w:rPr>
              <w:t> </w:t>
            </w:r>
            <w:r w:rsidRPr="000A4541">
              <w:rPr>
                <w:sz w:val="18"/>
                <w:szCs w:val="18"/>
                <w:lang w:val="fr-CA"/>
              </w:rPr>
              <w:t>; qui ont besoin de l</w:t>
            </w:r>
            <w:r w:rsidR="00D30361">
              <w:rPr>
                <w:sz w:val="18"/>
                <w:szCs w:val="18"/>
                <w:lang w:val="fr-CA"/>
              </w:rPr>
              <w:t>’</w:t>
            </w:r>
            <w:r w:rsidRPr="000A4541">
              <w:rPr>
                <w:sz w:val="18"/>
                <w:szCs w:val="18"/>
                <w:lang w:val="fr-CA"/>
              </w:rPr>
              <w:t>aide d</w:t>
            </w:r>
            <w:r w:rsidR="00D30361">
              <w:rPr>
                <w:sz w:val="18"/>
                <w:szCs w:val="18"/>
                <w:lang w:val="fr-CA"/>
              </w:rPr>
              <w:t>’</w:t>
            </w:r>
            <w:r w:rsidRPr="000A4541">
              <w:rPr>
                <w:sz w:val="18"/>
                <w:szCs w:val="18"/>
                <w:lang w:val="fr-CA"/>
              </w:rPr>
              <w:t>un chien-guide, d</w:t>
            </w:r>
            <w:r w:rsidR="00270F39">
              <w:rPr>
                <w:sz w:val="18"/>
                <w:szCs w:val="18"/>
                <w:lang w:val="fr-CA"/>
              </w:rPr>
              <w:t>’</w:t>
            </w:r>
            <w:r w:rsidRPr="000A4541">
              <w:rPr>
                <w:sz w:val="18"/>
                <w:szCs w:val="18"/>
                <w:lang w:val="fr-CA"/>
              </w:rPr>
              <w:t>un animal ou d</w:t>
            </w:r>
            <w:r w:rsidR="00270F39">
              <w:rPr>
                <w:sz w:val="18"/>
                <w:szCs w:val="18"/>
                <w:lang w:val="fr-CA"/>
              </w:rPr>
              <w:t>’</w:t>
            </w:r>
            <w:r w:rsidRPr="000A4541">
              <w:rPr>
                <w:sz w:val="18"/>
                <w:szCs w:val="18"/>
                <w:lang w:val="fr-CA"/>
              </w:rPr>
              <w:t>un chien d</w:t>
            </w:r>
            <w:r w:rsidR="00270F39">
              <w:rPr>
                <w:sz w:val="18"/>
                <w:szCs w:val="18"/>
                <w:lang w:val="fr-CA"/>
              </w:rPr>
              <w:t>’</w:t>
            </w:r>
            <w:r w:rsidRPr="000A4541">
              <w:rPr>
                <w:sz w:val="18"/>
                <w:szCs w:val="18"/>
                <w:lang w:val="fr-CA"/>
              </w:rPr>
              <w:t>assistance</w:t>
            </w:r>
            <w:r w:rsidR="00A67FA0">
              <w:rPr>
                <w:sz w:val="18"/>
                <w:szCs w:val="18"/>
                <w:lang w:val="fr-CA"/>
              </w:rPr>
              <w:t> </w:t>
            </w:r>
            <w:r w:rsidRPr="000A4541">
              <w:rPr>
                <w:sz w:val="18"/>
                <w:szCs w:val="18"/>
                <w:lang w:val="fr-CA"/>
              </w:rPr>
              <w:t>; ou qui ont besoin de l</w:t>
            </w:r>
            <w:r w:rsidR="00270F39">
              <w:rPr>
                <w:sz w:val="18"/>
                <w:szCs w:val="18"/>
                <w:lang w:val="fr-CA"/>
              </w:rPr>
              <w:t>’</w:t>
            </w:r>
            <w:r w:rsidRPr="000A4541">
              <w:rPr>
                <w:sz w:val="18"/>
                <w:szCs w:val="18"/>
                <w:lang w:val="fr-CA"/>
              </w:rPr>
              <w:t>aide d</w:t>
            </w:r>
            <w:r w:rsidR="00A67FA0">
              <w:rPr>
                <w:sz w:val="18"/>
                <w:szCs w:val="18"/>
                <w:lang w:val="fr-CA"/>
              </w:rPr>
              <w:t>’</w:t>
            </w:r>
            <w:r w:rsidRPr="000A4541">
              <w:rPr>
                <w:sz w:val="18"/>
                <w:szCs w:val="18"/>
                <w:lang w:val="fr-CA"/>
              </w:rPr>
              <w:t>une personne de soutien</w:t>
            </w:r>
            <w:r w:rsidR="00A67FA0">
              <w:rPr>
                <w:sz w:val="18"/>
                <w:szCs w:val="18"/>
                <w:lang w:val="fr-CA"/>
              </w:rPr>
              <w:t> </w:t>
            </w:r>
            <w:r w:rsidRPr="000A4541">
              <w:rPr>
                <w:sz w:val="18"/>
                <w:szCs w:val="18"/>
                <w:lang w:val="fr-CA"/>
              </w:rPr>
              <w:t>;</w:t>
            </w:r>
          </w:p>
          <w:p w14:paraId="507F8F31" w14:textId="1AABB4BD" w:rsidR="000A4541" w:rsidRPr="000A4541" w:rsidRDefault="000A4541" w:rsidP="000A4541">
            <w:pPr>
              <w:rPr>
                <w:sz w:val="18"/>
                <w:szCs w:val="18"/>
                <w:lang w:val="fr-CA"/>
              </w:rPr>
            </w:pPr>
            <w:r w:rsidRPr="000A4541">
              <w:rPr>
                <w:sz w:val="18"/>
                <w:szCs w:val="18"/>
                <w:lang w:val="fr-CA"/>
              </w:rPr>
              <w:t>• Instructions sur la manière d</w:t>
            </w:r>
            <w:r w:rsidR="00270F39">
              <w:rPr>
                <w:sz w:val="18"/>
                <w:szCs w:val="18"/>
                <w:lang w:val="fr-CA"/>
              </w:rPr>
              <w:t>’</w:t>
            </w:r>
            <w:r w:rsidRPr="000A4541">
              <w:rPr>
                <w:sz w:val="18"/>
                <w:szCs w:val="18"/>
                <w:lang w:val="fr-CA"/>
              </w:rPr>
              <w:t>utiliser l</w:t>
            </w:r>
            <w:r w:rsidR="00270F39">
              <w:rPr>
                <w:sz w:val="18"/>
                <w:szCs w:val="18"/>
                <w:lang w:val="fr-CA"/>
              </w:rPr>
              <w:t>’</w:t>
            </w:r>
            <w:r w:rsidRPr="000A4541">
              <w:rPr>
                <w:sz w:val="18"/>
                <w:szCs w:val="18"/>
                <w:lang w:val="fr-CA"/>
              </w:rPr>
              <w:t>équipement ou les appareils disponibles dans vos locaux ou qui peuvent aider les clients handicapés</w:t>
            </w:r>
            <w:r w:rsidR="00A67FA0">
              <w:rPr>
                <w:sz w:val="18"/>
                <w:szCs w:val="18"/>
                <w:lang w:val="fr-CA"/>
              </w:rPr>
              <w:t> </w:t>
            </w:r>
            <w:r w:rsidRPr="000A4541">
              <w:rPr>
                <w:sz w:val="18"/>
                <w:szCs w:val="18"/>
                <w:lang w:val="fr-CA"/>
              </w:rPr>
              <w:t xml:space="preserve">; • Instructions sur la marche à suivre si un client handicapé </w:t>
            </w:r>
            <w:proofErr w:type="gramStart"/>
            <w:r w:rsidRPr="000A4541">
              <w:rPr>
                <w:sz w:val="18"/>
                <w:szCs w:val="18"/>
                <w:lang w:val="fr-CA"/>
              </w:rPr>
              <w:t>a</w:t>
            </w:r>
            <w:proofErr w:type="gramEnd"/>
            <w:r w:rsidRPr="000A4541">
              <w:rPr>
                <w:sz w:val="18"/>
                <w:szCs w:val="18"/>
                <w:lang w:val="fr-CA"/>
              </w:rPr>
              <w:t xml:space="preserve"> des difficultés à accéder à vos services</w:t>
            </w:r>
            <w:r w:rsidR="00A67FA0">
              <w:rPr>
                <w:sz w:val="18"/>
                <w:szCs w:val="18"/>
                <w:lang w:val="fr-CA"/>
              </w:rPr>
              <w:t> </w:t>
            </w:r>
            <w:r w:rsidRPr="000A4541">
              <w:rPr>
                <w:sz w:val="18"/>
                <w:szCs w:val="18"/>
                <w:lang w:val="fr-CA"/>
              </w:rPr>
              <w:t>;</w:t>
            </w:r>
          </w:p>
          <w:p w14:paraId="59E03467" w14:textId="48A51D4C" w:rsidR="000A4541" w:rsidRPr="000A4541" w:rsidRDefault="000A4541" w:rsidP="000A4541">
            <w:pPr>
              <w:rPr>
                <w:sz w:val="18"/>
                <w:szCs w:val="18"/>
                <w:lang w:val="fr-CA"/>
              </w:rPr>
            </w:pPr>
            <w:r w:rsidRPr="000A4541">
              <w:rPr>
                <w:sz w:val="18"/>
                <w:szCs w:val="18"/>
                <w:lang w:val="fr-CA"/>
              </w:rPr>
              <w:t>• Politiques, procédures et pratiques entourant la législation.</w:t>
            </w:r>
          </w:p>
        </w:tc>
        <w:tc>
          <w:tcPr>
            <w:tcW w:w="1276" w:type="dxa"/>
          </w:tcPr>
          <w:p w14:paraId="094735BA" w14:textId="4C3A5913" w:rsidR="00476390" w:rsidRPr="00032EDA" w:rsidRDefault="00476390" w:rsidP="00511ECD">
            <w:pPr>
              <w:rPr>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1133" w:type="dxa"/>
          </w:tcPr>
          <w:p w14:paraId="0BE4E00A" w14:textId="2A065755" w:rsidR="00032EDA" w:rsidRPr="00032EDA" w:rsidRDefault="00032EDA" w:rsidP="00511ECD">
            <w:pPr>
              <w:rPr>
                <w:sz w:val="18"/>
                <w:szCs w:val="18"/>
              </w:rPr>
            </w:pPr>
            <w:r w:rsidRPr="00032EDA">
              <w:rPr>
                <w:sz w:val="18"/>
                <w:szCs w:val="18"/>
              </w:rPr>
              <w:t>Jan</w:t>
            </w:r>
            <w:r w:rsidR="00476390">
              <w:rPr>
                <w:sz w:val="18"/>
                <w:szCs w:val="18"/>
              </w:rPr>
              <w:t>vier</w:t>
            </w:r>
            <w:r w:rsidRPr="00032EDA">
              <w:rPr>
                <w:sz w:val="18"/>
                <w:szCs w:val="18"/>
              </w:rPr>
              <w:t xml:space="preserve"> </w:t>
            </w:r>
            <w:r w:rsidR="00E819C5">
              <w:rPr>
                <w:sz w:val="18"/>
                <w:szCs w:val="18"/>
              </w:rPr>
              <w:t>20</w:t>
            </w:r>
            <w:r w:rsidRPr="00032EDA">
              <w:rPr>
                <w:sz w:val="18"/>
                <w:szCs w:val="18"/>
              </w:rPr>
              <w:t>12</w:t>
            </w:r>
          </w:p>
        </w:tc>
        <w:tc>
          <w:tcPr>
            <w:tcW w:w="1135" w:type="dxa"/>
          </w:tcPr>
          <w:p w14:paraId="66738D56" w14:textId="518406DC" w:rsidR="00032EDA" w:rsidRPr="00032EDA" w:rsidRDefault="00032EDA" w:rsidP="00511ECD">
            <w:pPr>
              <w:rPr>
                <w:sz w:val="18"/>
                <w:szCs w:val="18"/>
              </w:rPr>
            </w:pPr>
            <w:proofErr w:type="spellStart"/>
            <w:r w:rsidRPr="00032EDA">
              <w:rPr>
                <w:sz w:val="18"/>
                <w:szCs w:val="18"/>
              </w:rPr>
              <w:t>Complet</w:t>
            </w:r>
            <w:proofErr w:type="spellEnd"/>
            <w:r w:rsidRPr="00032EDA">
              <w:rPr>
                <w:sz w:val="18"/>
                <w:szCs w:val="18"/>
              </w:rPr>
              <w:t xml:space="preserve"> </w:t>
            </w:r>
          </w:p>
        </w:tc>
      </w:tr>
      <w:tr w:rsidR="001B25C0" w14:paraId="1DCD3C1D" w14:textId="77777777" w:rsidTr="00705FFC">
        <w:tc>
          <w:tcPr>
            <w:tcW w:w="3114" w:type="dxa"/>
          </w:tcPr>
          <w:p w14:paraId="3CE4E047" w14:textId="2E53EDF2" w:rsidR="00476390" w:rsidRPr="00032EDA" w:rsidRDefault="00476390" w:rsidP="00476390">
            <w:pPr>
              <w:rPr>
                <w:sz w:val="18"/>
                <w:szCs w:val="18"/>
              </w:rPr>
            </w:pPr>
            <w:proofErr w:type="spellStart"/>
            <w:r w:rsidRPr="006F2DCF">
              <w:rPr>
                <w:sz w:val="18"/>
                <w:szCs w:val="18"/>
              </w:rPr>
              <w:t>Établissement</w:t>
            </w:r>
            <w:proofErr w:type="spellEnd"/>
            <w:r w:rsidRPr="006F2DCF">
              <w:rPr>
                <w:sz w:val="18"/>
                <w:szCs w:val="18"/>
              </w:rPr>
              <w:t xml:space="preserve"> d</w:t>
            </w:r>
            <w:r w:rsidR="008B0F4B">
              <w:rPr>
                <w:sz w:val="18"/>
                <w:szCs w:val="18"/>
              </w:rPr>
              <w:t>’u</w:t>
            </w:r>
            <w:r w:rsidRPr="006F2DCF">
              <w:rPr>
                <w:sz w:val="18"/>
                <w:szCs w:val="18"/>
              </w:rPr>
              <w:t xml:space="preserve">n plan </w:t>
            </w:r>
            <w:proofErr w:type="spellStart"/>
            <w:r w:rsidRPr="006F2DCF">
              <w:rPr>
                <w:sz w:val="18"/>
                <w:szCs w:val="18"/>
              </w:rPr>
              <w:t>d</w:t>
            </w:r>
            <w:r w:rsidR="008B0F4B">
              <w:rPr>
                <w:sz w:val="18"/>
                <w:szCs w:val="18"/>
              </w:rPr>
              <w:t>’</w:t>
            </w:r>
            <w:r w:rsidRPr="006F2DCF">
              <w:rPr>
                <w:sz w:val="18"/>
                <w:szCs w:val="18"/>
              </w:rPr>
              <w:t>accessibilité</w:t>
            </w:r>
            <w:proofErr w:type="spellEnd"/>
          </w:p>
        </w:tc>
        <w:tc>
          <w:tcPr>
            <w:tcW w:w="3969" w:type="dxa"/>
          </w:tcPr>
          <w:p w14:paraId="45044692" w14:textId="1490E45A" w:rsidR="00BB31CB" w:rsidRPr="00BB31CB" w:rsidRDefault="00BB31CB" w:rsidP="00BB31CB">
            <w:pPr>
              <w:rPr>
                <w:sz w:val="18"/>
                <w:szCs w:val="18"/>
                <w:lang w:val="fr-CA"/>
              </w:rPr>
            </w:pPr>
            <w:r w:rsidRPr="00BB31CB">
              <w:rPr>
                <w:sz w:val="18"/>
                <w:szCs w:val="18"/>
                <w:lang w:val="fr-CA"/>
              </w:rPr>
              <w:t>Les organisations comptant plus de 50</w:t>
            </w:r>
            <w:r w:rsidR="00A67FA0">
              <w:rPr>
                <w:sz w:val="18"/>
                <w:szCs w:val="18"/>
                <w:lang w:val="fr-CA"/>
              </w:rPr>
              <w:t> </w:t>
            </w:r>
            <w:r w:rsidRPr="00BB31CB">
              <w:rPr>
                <w:sz w:val="18"/>
                <w:szCs w:val="18"/>
                <w:lang w:val="fr-CA"/>
              </w:rPr>
              <w:t>employés doivent établir, mettre en œuvre, tenir à jour et documenter un plan d’accessibilité pluriannuel qui décrit la stratégie de l’organisation pour prévenir et éliminer les obstacles et satisfaire aux exigences de la LAPHO.</w:t>
            </w:r>
          </w:p>
          <w:p w14:paraId="50143850" w14:textId="77777777" w:rsidR="00BB31CB" w:rsidRPr="00BB31CB" w:rsidRDefault="00BB31CB" w:rsidP="00BB31CB">
            <w:pPr>
              <w:rPr>
                <w:sz w:val="18"/>
                <w:szCs w:val="18"/>
                <w:lang w:val="fr-CA"/>
              </w:rPr>
            </w:pPr>
          </w:p>
          <w:p w14:paraId="68A99621" w14:textId="49EE7FE2" w:rsidR="00BB31CB" w:rsidRPr="00BB31CB" w:rsidRDefault="00BB31CB" w:rsidP="00BB31CB">
            <w:pPr>
              <w:rPr>
                <w:lang w:val="fr-CA"/>
              </w:rPr>
            </w:pPr>
            <w:r w:rsidRPr="002749D8">
              <w:rPr>
                <w:sz w:val="18"/>
                <w:szCs w:val="18"/>
                <w:lang w:val="fr-CA"/>
              </w:rPr>
              <w:t xml:space="preserve">Le BSJ doit publier le plan sur son site Web et le fournir dans un format accessible sur demande. </w:t>
            </w:r>
            <w:r w:rsidRPr="00BB31CB">
              <w:rPr>
                <w:sz w:val="18"/>
                <w:szCs w:val="18"/>
                <w:lang w:val="fr-CA"/>
              </w:rPr>
              <w:t xml:space="preserve">Réviser et mettre à jour le plan au moins tous les </w:t>
            </w:r>
            <w:r>
              <w:rPr>
                <w:sz w:val="18"/>
                <w:szCs w:val="18"/>
                <w:lang w:val="fr-CA"/>
              </w:rPr>
              <w:t>cinq</w:t>
            </w:r>
            <w:r w:rsidRPr="00BB31CB">
              <w:rPr>
                <w:sz w:val="18"/>
                <w:szCs w:val="18"/>
                <w:lang w:val="fr-CA"/>
              </w:rPr>
              <w:t xml:space="preserve"> ans.</w:t>
            </w:r>
          </w:p>
        </w:tc>
        <w:tc>
          <w:tcPr>
            <w:tcW w:w="1276" w:type="dxa"/>
          </w:tcPr>
          <w:p w14:paraId="4CF15A16" w14:textId="490165AB" w:rsidR="00476390" w:rsidRPr="00032EDA" w:rsidRDefault="00476390" w:rsidP="00476390">
            <w:pPr>
              <w:rPr>
                <w:sz w:val="18"/>
                <w:szCs w:val="18"/>
              </w:rPr>
            </w:pPr>
            <w:proofErr w:type="spellStart"/>
            <w:r w:rsidRPr="008F46DF">
              <w:rPr>
                <w:sz w:val="18"/>
                <w:szCs w:val="18"/>
              </w:rPr>
              <w:t>Personnes</w:t>
            </w:r>
            <w:proofErr w:type="spellEnd"/>
            <w:r w:rsidRPr="008F46DF">
              <w:rPr>
                <w:sz w:val="18"/>
                <w:szCs w:val="18"/>
              </w:rPr>
              <w:t xml:space="preserve">, culture et </w:t>
            </w:r>
            <w:proofErr w:type="spellStart"/>
            <w:r w:rsidRPr="008F46DF">
              <w:rPr>
                <w:sz w:val="18"/>
                <w:szCs w:val="18"/>
              </w:rPr>
              <w:t>appartenance</w:t>
            </w:r>
            <w:proofErr w:type="spellEnd"/>
          </w:p>
        </w:tc>
        <w:tc>
          <w:tcPr>
            <w:tcW w:w="1133" w:type="dxa"/>
          </w:tcPr>
          <w:p w14:paraId="6219DF9F" w14:textId="0590F8C6" w:rsidR="00476390" w:rsidRPr="00476390" w:rsidRDefault="00476390" w:rsidP="00476390">
            <w:pPr>
              <w:rPr>
                <w:sz w:val="18"/>
                <w:szCs w:val="18"/>
                <w:lang w:val="fr-CA"/>
              </w:rPr>
            </w:pPr>
            <w:r w:rsidRPr="00476390">
              <w:rPr>
                <w:rFonts w:asciiTheme="majorHAnsi" w:eastAsiaTheme="majorEastAsia" w:hAnsiTheme="majorHAnsi" w:cstheme="majorBidi"/>
                <w:sz w:val="18"/>
                <w:szCs w:val="18"/>
                <w:lang w:val="fr-CA"/>
              </w:rPr>
              <w:t xml:space="preserve">Janvier </w:t>
            </w:r>
            <w:r w:rsidRPr="00476390">
              <w:rPr>
                <w:sz w:val="18"/>
                <w:szCs w:val="18"/>
                <w:lang w:val="fr-CA"/>
              </w:rPr>
              <w:t>2014</w:t>
            </w:r>
          </w:p>
          <w:p w14:paraId="1DC899E1" w14:textId="77777777" w:rsidR="00476390" w:rsidRPr="00476390" w:rsidRDefault="00476390" w:rsidP="00476390">
            <w:pPr>
              <w:rPr>
                <w:sz w:val="18"/>
                <w:szCs w:val="18"/>
                <w:lang w:val="fr-CA"/>
              </w:rPr>
            </w:pPr>
          </w:p>
          <w:p w14:paraId="6DFD48BD" w14:textId="1AAAB1C9" w:rsidR="00476390" w:rsidRPr="00476390" w:rsidRDefault="00476390" w:rsidP="00476390">
            <w:pPr>
              <w:rPr>
                <w:sz w:val="18"/>
                <w:szCs w:val="18"/>
                <w:lang w:val="fr-CA"/>
              </w:rPr>
            </w:pPr>
            <w:r w:rsidRPr="00476390">
              <w:rPr>
                <w:rFonts w:asciiTheme="majorHAnsi" w:eastAsiaTheme="majorEastAsia" w:hAnsiTheme="majorHAnsi" w:cstheme="majorBidi"/>
                <w:sz w:val="18"/>
                <w:szCs w:val="18"/>
                <w:lang w:val="fr-CA"/>
              </w:rPr>
              <w:t>Révisé en janvier</w:t>
            </w:r>
            <w:r w:rsidRPr="00476390">
              <w:rPr>
                <w:sz w:val="18"/>
                <w:szCs w:val="18"/>
                <w:lang w:val="fr-CA"/>
              </w:rPr>
              <w:t xml:space="preserve"> 2018</w:t>
            </w:r>
          </w:p>
          <w:p w14:paraId="0348B8A3" w14:textId="77777777" w:rsidR="00476390" w:rsidRPr="00476390" w:rsidRDefault="00476390" w:rsidP="00476390">
            <w:pPr>
              <w:rPr>
                <w:sz w:val="18"/>
                <w:szCs w:val="18"/>
                <w:lang w:val="fr-CA"/>
              </w:rPr>
            </w:pPr>
          </w:p>
          <w:p w14:paraId="2BBBB4F8" w14:textId="2EAFD86C" w:rsidR="00476390" w:rsidRPr="00476390" w:rsidRDefault="00476390" w:rsidP="00476390">
            <w:pPr>
              <w:rPr>
                <w:lang w:val="fr-CA"/>
              </w:rPr>
            </w:pPr>
            <w:r w:rsidRPr="00476390">
              <w:rPr>
                <w:rFonts w:asciiTheme="majorHAnsi" w:eastAsiaTheme="majorEastAsia" w:hAnsiTheme="majorHAnsi" w:cstheme="majorBidi"/>
                <w:sz w:val="18"/>
                <w:szCs w:val="18"/>
                <w:lang w:val="fr-CA"/>
              </w:rPr>
              <w:t>Révisé en déc. 2024</w:t>
            </w:r>
          </w:p>
        </w:tc>
        <w:tc>
          <w:tcPr>
            <w:tcW w:w="1135" w:type="dxa"/>
          </w:tcPr>
          <w:p w14:paraId="5B1A5F77" w14:textId="04CB80CA" w:rsidR="00476390" w:rsidRPr="00032EDA" w:rsidRDefault="00476390" w:rsidP="00476390">
            <w:pPr>
              <w:rPr>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r>
              <w:rPr>
                <w:sz w:val="18"/>
                <w:szCs w:val="18"/>
              </w:rPr>
              <w:t xml:space="preserve"> </w:t>
            </w:r>
          </w:p>
        </w:tc>
      </w:tr>
      <w:tr w:rsidR="001B25C0" w14:paraId="536D5A94" w14:textId="77777777" w:rsidTr="00705FFC">
        <w:tc>
          <w:tcPr>
            <w:tcW w:w="3114" w:type="dxa"/>
          </w:tcPr>
          <w:p w14:paraId="2831945B" w14:textId="0F582E79" w:rsidR="00476390" w:rsidRPr="006F2DCF" w:rsidRDefault="00476390" w:rsidP="00476390">
            <w:pPr>
              <w:rPr>
                <w:sz w:val="18"/>
                <w:szCs w:val="18"/>
                <w:lang w:val="fr-CA"/>
              </w:rPr>
            </w:pPr>
            <w:r w:rsidRPr="006F2DCF">
              <w:rPr>
                <w:sz w:val="18"/>
                <w:szCs w:val="18"/>
                <w:lang w:val="fr-CA"/>
              </w:rPr>
              <w:t>Formation</w:t>
            </w:r>
            <w:r w:rsidR="00A67FA0">
              <w:rPr>
                <w:sz w:val="18"/>
                <w:szCs w:val="18"/>
                <w:lang w:val="fr-CA"/>
              </w:rPr>
              <w:t> </w:t>
            </w:r>
            <w:r w:rsidRPr="006F2DCF">
              <w:rPr>
                <w:sz w:val="18"/>
                <w:szCs w:val="18"/>
                <w:lang w:val="fr-CA"/>
              </w:rPr>
              <w:t xml:space="preserve">: Elle est offerte à tous les employés, bénévoles, étudiants et à toutes les autres personnes qui fournissent des services ou des installations au nom du </w:t>
            </w:r>
            <w:r w:rsidR="008B0F4B">
              <w:rPr>
                <w:sz w:val="18"/>
                <w:szCs w:val="18"/>
                <w:lang w:val="fr-CA"/>
              </w:rPr>
              <w:t>BSJ</w:t>
            </w:r>
            <w:r w:rsidRPr="006F2DCF">
              <w:rPr>
                <w:sz w:val="18"/>
                <w:szCs w:val="18"/>
                <w:lang w:val="fr-CA"/>
              </w:rPr>
              <w:t xml:space="preserve"> et aux personnes qui participent à l’élaboration des politiques du </w:t>
            </w:r>
            <w:r w:rsidR="008B0F4B">
              <w:rPr>
                <w:sz w:val="18"/>
                <w:szCs w:val="18"/>
                <w:lang w:val="fr-CA"/>
              </w:rPr>
              <w:t>BSJ</w:t>
            </w:r>
            <w:r w:rsidRPr="006F2DCF">
              <w:rPr>
                <w:sz w:val="18"/>
                <w:szCs w:val="18"/>
                <w:lang w:val="fr-CA"/>
              </w:rPr>
              <w:t>.</w:t>
            </w:r>
          </w:p>
        </w:tc>
        <w:tc>
          <w:tcPr>
            <w:tcW w:w="3969" w:type="dxa"/>
          </w:tcPr>
          <w:p w14:paraId="11154120" w14:textId="325FAD81" w:rsidR="005224F8" w:rsidRPr="005224F8" w:rsidRDefault="005224F8" w:rsidP="00476390">
            <w:pPr>
              <w:rPr>
                <w:sz w:val="18"/>
                <w:szCs w:val="18"/>
                <w:lang w:val="fr-CA"/>
              </w:rPr>
            </w:pPr>
            <w:r w:rsidRPr="005224F8">
              <w:rPr>
                <w:sz w:val="18"/>
                <w:szCs w:val="18"/>
                <w:lang w:val="fr-CA"/>
              </w:rPr>
              <w:t>Élaboration et mise en œuvre d</w:t>
            </w:r>
            <w:r>
              <w:rPr>
                <w:sz w:val="18"/>
                <w:szCs w:val="18"/>
                <w:lang w:val="fr-CA"/>
              </w:rPr>
              <w:t>’</w:t>
            </w:r>
            <w:r w:rsidRPr="005224F8">
              <w:rPr>
                <w:sz w:val="18"/>
                <w:szCs w:val="18"/>
                <w:lang w:val="fr-CA"/>
              </w:rPr>
              <w:t>une stratégie de formation pour tous les employés, bénévoles et étudiants. Tous les employés, étudiants et bénévoles, quel que soit leur poste, sont formés aux normes de service à la clientèle.</w:t>
            </w:r>
          </w:p>
        </w:tc>
        <w:tc>
          <w:tcPr>
            <w:tcW w:w="1276" w:type="dxa"/>
          </w:tcPr>
          <w:p w14:paraId="777028D6" w14:textId="63001E9B" w:rsidR="00476390" w:rsidRPr="00032EDA" w:rsidRDefault="00476390" w:rsidP="00476390">
            <w:pPr>
              <w:rPr>
                <w:sz w:val="18"/>
                <w:szCs w:val="18"/>
              </w:rPr>
            </w:pPr>
            <w:proofErr w:type="spellStart"/>
            <w:r w:rsidRPr="008F46DF">
              <w:rPr>
                <w:sz w:val="18"/>
                <w:szCs w:val="18"/>
              </w:rPr>
              <w:t>Personnes</w:t>
            </w:r>
            <w:proofErr w:type="spellEnd"/>
            <w:r w:rsidRPr="008F46DF">
              <w:rPr>
                <w:sz w:val="18"/>
                <w:szCs w:val="18"/>
              </w:rPr>
              <w:t xml:space="preserve">, culture et </w:t>
            </w:r>
            <w:proofErr w:type="spellStart"/>
            <w:r w:rsidRPr="008F46DF">
              <w:rPr>
                <w:sz w:val="18"/>
                <w:szCs w:val="18"/>
              </w:rPr>
              <w:t>appartenance</w:t>
            </w:r>
            <w:proofErr w:type="spellEnd"/>
          </w:p>
        </w:tc>
        <w:tc>
          <w:tcPr>
            <w:tcW w:w="1133" w:type="dxa"/>
          </w:tcPr>
          <w:p w14:paraId="24DB8D22" w14:textId="6E02EB16" w:rsidR="00476390" w:rsidRPr="00032EDA" w:rsidRDefault="00476390" w:rsidP="00476390">
            <w:pPr>
              <w:rPr>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Pr>
                <w:sz w:val="18"/>
                <w:szCs w:val="18"/>
              </w:rPr>
              <w:t xml:space="preserve"> 2012</w:t>
            </w:r>
          </w:p>
        </w:tc>
        <w:tc>
          <w:tcPr>
            <w:tcW w:w="1135" w:type="dxa"/>
          </w:tcPr>
          <w:p w14:paraId="15C220B4" w14:textId="37046130" w:rsidR="00476390" w:rsidRPr="00032EDA" w:rsidRDefault="00476390" w:rsidP="00476390">
            <w:pPr>
              <w:rPr>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1B25C0" w14:paraId="19BDBAA2" w14:textId="77777777" w:rsidTr="00705FFC">
        <w:tc>
          <w:tcPr>
            <w:tcW w:w="3114" w:type="dxa"/>
          </w:tcPr>
          <w:p w14:paraId="2538BAA8" w14:textId="2563A74D" w:rsidR="00476390" w:rsidRPr="00032EDA" w:rsidRDefault="00476390" w:rsidP="00476390">
            <w:pPr>
              <w:rPr>
                <w:sz w:val="18"/>
                <w:szCs w:val="18"/>
              </w:rPr>
            </w:pPr>
            <w:r w:rsidRPr="006F2DCF">
              <w:rPr>
                <w:sz w:val="18"/>
                <w:szCs w:val="18"/>
              </w:rPr>
              <w:t xml:space="preserve">Processus de </w:t>
            </w:r>
            <w:proofErr w:type="spellStart"/>
            <w:r w:rsidRPr="006F2DCF">
              <w:rPr>
                <w:sz w:val="18"/>
                <w:szCs w:val="18"/>
              </w:rPr>
              <w:t>rétroaction</w:t>
            </w:r>
            <w:proofErr w:type="spellEnd"/>
          </w:p>
        </w:tc>
        <w:tc>
          <w:tcPr>
            <w:tcW w:w="3969" w:type="dxa"/>
          </w:tcPr>
          <w:p w14:paraId="60B4564B" w14:textId="69FD8F2E" w:rsidR="00305BD0" w:rsidRPr="00305BD0" w:rsidRDefault="00305BD0" w:rsidP="00305BD0">
            <w:pPr>
              <w:rPr>
                <w:sz w:val="18"/>
                <w:szCs w:val="18"/>
                <w:lang w:val="fr-CA"/>
              </w:rPr>
            </w:pPr>
            <w:r w:rsidRPr="00305BD0">
              <w:rPr>
                <w:sz w:val="18"/>
                <w:szCs w:val="18"/>
                <w:lang w:val="fr-CA"/>
              </w:rPr>
              <w:t>• Disposer d</w:t>
            </w:r>
            <w:r>
              <w:rPr>
                <w:sz w:val="18"/>
                <w:szCs w:val="18"/>
                <w:lang w:val="fr-CA"/>
              </w:rPr>
              <w:t>’</w:t>
            </w:r>
            <w:r w:rsidRPr="00305BD0">
              <w:rPr>
                <w:sz w:val="18"/>
                <w:szCs w:val="18"/>
                <w:lang w:val="fr-CA"/>
              </w:rPr>
              <w:t>un processus pour recevoir et répondre aux commentaires sur la manière dont nous fournissons des services, des biens ou des installations aux personnes handicapées</w:t>
            </w:r>
            <w:r w:rsidR="009800EC">
              <w:rPr>
                <w:sz w:val="18"/>
                <w:szCs w:val="18"/>
                <w:lang w:val="fr-CA"/>
              </w:rPr>
              <w:t>.</w:t>
            </w:r>
          </w:p>
          <w:p w14:paraId="015F74EF" w14:textId="767AF4A7" w:rsidR="00305BD0" w:rsidRPr="00305BD0" w:rsidRDefault="00305BD0" w:rsidP="00305BD0">
            <w:pPr>
              <w:rPr>
                <w:sz w:val="18"/>
                <w:szCs w:val="18"/>
                <w:lang w:val="fr-CA"/>
              </w:rPr>
            </w:pPr>
            <w:r w:rsidRPr="00305BD0">
              <w:rPr>
                <w:sz w:val="18"/>
                <w:szCs w:val="18"/>
                <w:lang w:val="fr-CA"/>
              </w:rPr>
              <w:t>• Doit spécifier les mesures que nous prendrons en cas de plainte</w:t>
            </w:r>
            <w:r w:rsidR="009800EC">
              <w:rPr>
                <w:sz w:val="18"/>
                <w:szCs w:val="18"/>
                <w:lang w:val="fr-CA"/>
              </w:rPr>
              <w:t>.</w:t>
            </w:r>
          </w:p>
          <w:p w14:paraId="4615A7B3" w14:textId="53A11257" w:rsidR="00305BD0" w:rsidRPr="00305BD0" w:rsidRDefault="00305BD0" w:rsidP="00305BD0">
            <w:pPr>
              <w:rPr>
                <w:sz w:val="18"/>
                <w:szCs w:val="18"/>
                <w:lang w:val="fr-CA"/>
              </w:rPr>
            </w:pPr>
            <w:r w:rsidRPr="00305BD0">
              <w:rPr>
                <w:sz w:val="18"/>
                <w:szCs w:val="18"/>
                <w:lang w:val="fr-CA"/>
              </w:rPr>
              <w:t>• Veiller à ce que le processus soit accessible aux personnes handicapées en fournissant/organisant des formats et des supports de communication accessibles</w:t>
            </w:r>
            <w:r w:rsidR="00823775">
              <w:rPr>
                <w:sz w:val="18"/>
                <w:szCs w:val="18"/>
                <w:lang w:val="fr-CA"/>
              </w:rPr>
              <w:t>.</w:t>
            </w:r>
          </w:p>
          <w:p w14:paraId="47CF64AE" w14:textId="0B67905E" w:rsidR="00305BD0" w:rsidRPr="00305BD0" w:rsidRDefault="00305BD0" w:rsidP="00305BD0">
            <w:pPr>
              <w:rPr>
                <w:sz w:val="18"/>
                <w:szCs w:val="18"/>
                <w:lang w:val="fr-CA"/>
              </w:rPr>
            </w:pPr>
            <w:r w:rsidRPr="00305BD0">
              <w:rPr>
                <w:sz w:val="18"/>
                <w:szCs w:val="18"/>
                <w:lang w:val="fr-CA"/>
              </w:rPr>
              <w:t>• Veiller à ce que le processus de rétroaction soit facilement accessible au public</w:t>
            </w:r>
            <w:r w:rsidR="00823775">
              <w:rPr>
                <w:sz w:val="18"/>
                <w:szCs w:val="18"/>
                <w:lang w:val="fr-CA"/>
              </w:rPr>
              <w:t>.</w:t>
            </w:r>
          </w:p>
          <w:p w14:paraId="7A5646AB" w14:textId="1F1A0C11" w:rsidR="00305BD0" w:rsidRPr="00305BD0" w:rsidRDefault="00305BD0" w:rsidP="00305BD0">
            <w:pPr>
              <w:rPr>
                <w:sz w:val="18"/>
                <w:szCs w:val="18"/>
                <w:lang w:val="fr-CA"/>
              </w:rPr>
            </w:pPr>
            <w:r w:rsidRPr="00305BD0">
              <w:rPr>
                <w:sz w:val="18"/>
                <w:szCs w:val="18"/>
                <w:lang w:val="fr-CA"/>
              </w:rPr>
              <w:t>• Préparer un document décrivant le processus de rétroaction et, sur demande, en remettre une copie à toute personne</w:t>
            </w:r>
            <w:r w:rsidR="00823775">
              <w:rPr>
                <w:sz w:val="18"/>
                <w:szCs w:val="18"/>
                <w:lang w:val="fr-CA"/>
              </w:rPr>
              <w:t>.</w:t>
            </w:r>
          </w:p>
          <w:p w14:paraId="6E616E53" w14:textId="748C45C0" w:rsidR="00305BD0" w:rsidRPr="00305BD0" w:rsidRDefault="00305BD0" w:rsidP="00305BD0">
            <w:pPr>
              <w:rPr>
                <w:sz w:val="18"/>
                <w:szCs w:val="18"/>
                <w:lang w:val="fr-CA"/>
              </w:rPr>
            </w:pPr>
            <w:r w:rsidRPr="00305BD0">
              <w:rPr>
                <w:sz w:val="18"/>
                <w:szCs w:val="18"/>
                <w:lang w:val="fr-CA"/>
              </w:rPr>
              <w:t>• Informer le public que nous avons ce processus de rétroaction (l</w:t>
            </w:r>
            <w:r w:rsidR="00823775">
              <w:rPr>
                <w:sz w:val="18"/>
                <w:szCs w:val="18"/>
                <w:lang w:val="fr-CA"/>
              </w:rPr>
              <w:t>’</w:t>
            </w:r>
            <w:r w:rsidRPr="00305BD0">
              <w:rPr>
                <w:sz w:val="18"/>
                <w:szCs w:val="18"/>
                <w:lang w:val="fr-CA"/>
              </w:rPr>
              <w:t>exigence est satisfaite par l</w:t>
            </w:r>
            <w:r w:rsidR="00823775">
              <w:rPr>
                <w:sz w:val="18"/>
                <w:szCs w:val="18"/>
                <w:lang w:val="fr-CA"/>
              </w:rPr>
              <w:t>’</w:t>
            </w:r>
            <w:r w:rsidRPr="00305BD0">
              <w:rPr>
                <w:sz w:val="18"/>
                <w:szCs w:val="18"/>
                <w:lang w:val="fr-CA"/>
              </w:rPr>
              <w:t>affichage dans les bureaux/sur le site Web)</w:t>
            </w:r>
            <w:r w:rsidR="00823775">
              <w:rPr>
                <w:sz w:val="18"/>
                <w:szCs w:val="18"/>
                <w:lang w:val="fr-CA"/>
              </w:rPr>
              <w:t>.</w:t>
            </w:r>
          </w:p>
        </w:tc>
        <w:tc>
          <w:tcPr>
            <w:tcW w:w="1276" w:type="dxa"/>
          </w:tcPr>
          <w:p w14:paraId="2AD25187" w14:textId="0A9ED937" w:rsidR="00476390" w:rsidRPr="00032EDA" w:rsidRDefault="00476390" w:rsidP="00476390">
            <w:pPr>
              <w:rPr>
                <w:sz w:val="18"/>
                <w:szCs w:val="18"/>
              </w:rPr>
            </w:pPr>
            <w:proofErr w:type="spellStart"/>
            <w:r w:rsidRPr="008F46DF">
              <w:rPr>
                <w:sz w:val="18"/>
                <w:szCs w:val="18"/>
              </w:rPr>
              <w:t>Personnes</w:t>
            </w:r>
            <w:proofErr w:type="spellEnd"/>
            <w:r w:rsidRPr="008F46DF">
              <w:rPr>
                <w:sz w:val="18"/>
                <w:szCs w:val="18"/>
              </w:rPr>
              <w:t xml:space="preserve">, culture et </w:t>
            </w:r>
            <w:proofErr w:type="spellStart"/>
            <w:r w:rsidRPr="008F46DF">
              <w:rPr>
                <w:sz w:val="18"/>
                <w:szCs w:val="18"/>
              </w:rPr>
              <w:t>appartenance</w:t>
            </w:r>
            <w:proofErr w:type="spellEnd"/>
          </w:p>
        </w:tc>
        <w:tc>
          <w:tcPr>
            <w:tcW w:w="1133" w:type="dxa"/>
          </w:tcPr>
          <w:p w14:paraId="618E66C2" w14:textId="7DB13100" w:rsidR="00476390" w:rsidRDefault="00476390" w:rsidP="00476390">
            <w:pPr>
              <w:rPr>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Pr>
                <w:sz w:val="18"/>
                <w:szCs w:val="18"/>
              </w:rPr>
              <w:t xml:space="preserve"> 2012</w:t>
            </w:r>
          </w:p>
          <w:p w14:paraId="33F83E31" w14:textId="77777777" w:rsidR="00476390" w:rsidRDefault="00476390" w:rsidP="00476390">
            <w:pPr>
              <w:rPr>
                <w:rFonts w:asciiTheme="majorHAnsi" w:eastAsiaTheme="majorEastAsia" w:hAnsiTheme="majorHAnsi" w:cstheme="majorBidi"/>
                <w:sz w:val="18"/>
                <w:szCs w:val="18"/>
              </w:rPr>
            </w:pPr>
          </w:p>
          <w:p w14:paraId="06A8A4E7" w14:textId="09D527CD" w:rsidR="00476390" w:rsidRPr="00705FFC" w:rsidRDefault="00476390" w:rsidP="00476390">
            <w:proofErr w:type="spellStart"/>
            <w:r>
              <w:rPr>
                <w:rFonts w:asciiTheme="majorHAnsi" w:eastAsiaTheme="majorEastAsia" w:hAnsiTheme="majorHAnsi" w:cstheme="majorBidi"/>
                <w:sz w:val="18"/>
                <w:szCs w:val="18"/>
              </w:rPr>
              <w:t>Révisé</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en</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nov.</w:t>
            </w:r>
            <w:proofErr w:type="spellEnd"/>
            <w:r w:rsidRPr="00705FFC">
              <w:rPr>
                <w:rFonts w:asciiTheme="majorHAnsi" w:eastAsiaTheme="majorEastAsia" w:hAnsiTheme="majorHAnsi" w:cstheme="majorBidi"/>
                <w:sz w:val="18"/>
                <w:szCs w:val="18"/>
              </w:rPr>
              <w:t xml:space="preserve"> 2023</w:t>
            </w:r>
          </w:p>
        </w:tc>
        <w:tc>
          <w:tcPr>
            <w:tcW w:w="1135" w:type="dxa"/>
          </w:tcPr>
          <w:p w14:paraId="0ECAEB9E" w14:textId="37902328" w:rsidR="00476390" w:rsidRPr="00032EDA" w:rsidRDefault="00476390" w:rsidP="00476390">
            <w:pPr>
              <w:rPr>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1B25C0" w14:paraId="22381BC6" w14:textId="77777777" w:rsidTr="00705FFC">
        <w:tc>
          <w:tcPr>
            <w:tcW w:w="3114" w:type="dxa"/>
          </w:tcPr>
          <w:p w14:paraId="1EAD8F1A" w14:textId="7AC15AB5" w:rsidR="00032EDA" w:rsidRPr="006F2DCF" w:rsidRDefault="006F2DCF" w:rsidP="00511ECD">
            <w:pPr>
              <w:rPr>
                <w:sz w:val="18"/>
                <w:szCs w:val="18"/>
                <w:lang w:val="fr-CA"/>
              </w:rPr>
            </w:pPr>
            <w:r w:rsidRPr="006F2DCF">
              <w:rPr>
                <w:sz w:val="18"/>
                <w:szCs w:val="18"/>
                <w:lang w:val="fr-CA"/>
              </w:rPr>
              <w:t>Formats accessibles et aide à la communication</w:t>
            </w:r>
          </w:p>
        </w:tc>
        <w:tc>
          <w:tcPr>
            <w:tcW w:w="3969" w:type="dxa"/>
          </w:tcPr>
          <w:p w14:paraId="65EADECB" w14:textId="00DBF61B" w:rsidR="00FB2608" w:rsidRPr="00FB2608" w:rsidRDefault="00FB2608" w:rsidP="00FB2608">
            <w:pPr>
              <w:rPr>
                <w:sz w:val="18"/>
                <w:szCs w:val="18"/>
                <w:lang w:val="fr-CA"/>
              </w:rPr>
            </w:pPr>
            <w:r w:rsidRPr="00FB2608">
              <w:rPr>
                <w:sz w:val="18"/>
                <w:szCs w:val="18"/>
                <w:lang w:val="fr-CA"/>
              </w:rPr>
              <w:t>Sur demande, fournir ou prendre des dispositions pour fournir des formats accessibles et des aides à la communication aux personnes handicapées</w:t>
            </w:r>
            <w:r w:rsidR="00A67FA0">
              <w:rPr>
                <w:sz w:val="18"/>
                <w:szCs w:val="18"/>
                <w:lang w:val="fr-CA"/>
              </w:rPr>
              <w:t> </w:t>
            </w:r>
            <w:r w:rsidRPr="00FB2608">
              <w:rPr>
                <w:sz w:val="18"/>
                <w:szCs w:val="18"/>
                <w:lang w:val="fr-CA"/>
              </w:rPr>
              <w:t>:</w:t>
            </w:r>
          </w:p>
          <w:p w14:paraId="7E71F459" w14:textId="2136852A" w:rsidR="00FB2608" w:rsidRPr="00FB2608" w:rsidRDefault="00FB2608" w:rsidP="00FB2608">
            <w:pPr>
              <w:rPr>
                <w:sz w:val="18"/>
                <w:szCs w:val="18"/>
                <w:lang w:val="fr-CA"/>
              </w:rPr>
            </w:pPr>
            <w:r w:rsidRPr="00FB2608">
              <w:rPr>
                <w:sz w:val="18"/>
                <w:szCs w:val="18"/>
                <w:lang w:val="fr-CA"/>
              </w:rPr>
              <w:t>En temps opportun, en tenant compte des besoins d</w:t>
            </w:r>
            <w:r w:rsidR="00A67FA0">
              <w:rPr>
                <w:sz w:val="18"/>
                <w:szCs w:val="18"/>
                <w:lang w:val="fr-CA"/>
              </w:rPr>
              <w:t>’</w:t>
            </w:r>
            <w:r w:rsidRPr="00FB2608">
              <w:rPr>
                <w:sz w:val="18"/>
                <w:szCs w:val="18"/>
                <w:lang w:val="fr-CA"/>
              </w:rPr>
              <w:t>accessibilité de la personne</w:t>
            </w:r>
            <w:r w:rsidR="00A67FA0">
              <w:rPr>
                <w:sz w:val="18"/>
                <w:szCs w:val="18"/>
                <w:lang w:val="fr-CA"/>
              </w:rPr>
              <w:t> </w:t>
            </w:r>
            <w:r w:rsidRPr="00FB2608">
              <w:rPr>
                <w:sz w:val="18"/>
                <w:szCs w:val="18"/>
                <w:lang w:val="fr-CA"/>
              </w:rPr>
              <w:t>;</w:t>
            </w:r>
          </w:p>
          <w:p w14:paraId="74B7FC08" w14:textId="77777777" w:rsidR="00FB2608" w:rsidRPr="00FB2608" w:rsidRDefault="00FB2608" w:rsidP="00FB2608">
            <w:pPr>
              <w:rPr>
                <w:sz w:val="18"/>
                <w:szCs w:val="18"/>
                <w:lang w:val="fr-CA"/>
              </w:rPr>
            </w:pPr>
            <w:r w:rsidRPr="00FB2608">
              <w:rPr>
                <w:sz w:val="18"/>
                <w:szCs w:val="18"/>
                <w:lang w:val="fr-CA"/>
              </w:rPr>
              <w:t>À un coût qui ne dépasse pas le coût habituel facturé aux autres personnes.</w:t>
            </w:r>
          </w:p>
          <w:p w14:paraId="0938CBEF" w14:textId="31398BAA" w:rsidR="00FB2608" w:rsidRPr="00FB2608" w:rsidRDefault="00FB2608" w:rsidP="00FB2608">
            <w:pPr>
              <w:rPr>
                <w:sz w:val="18"/>
                <w:szCs w:val="18"/>
                <w:lang w:val="fr-CA"/>
              </w:rPr>
            </w:pPr>
            <w:r w:rsidRPr="00FB2608">
              <w:rPr>
                <w:sz w:val="18"/>
                <w:szCs w:val="18"/>
                <w:lang w:val="fr-CA"/>
              </w:rPr>
              <w:lastRenderedPageBreak/>
              <w:t>L</w:t>
            </w:r>
            <w:r w:rsidR="003B2382">
              <w:rPr>
                <w:sz w:val="18"/>
                <w:szCs w:val="18"/>
                <w:lang w:val="fr-CA"/>
              </w:rPr>
              <w:t>’</w:t>
            </w:r>
            <w:r w:rsidRPr="00FB2608">
              <w:rPr>
                <w:sz w:val="18"/>
                <w:szCs w:val="18"/>
                <w:lang w:val="fr-CA"/>
              </w:rPr>
              <w:t>organisation consultera la personne qui fait la demande pour déterminer la pertinence d</w:t>
            </w:r>
            <w:r w:rsidR="003B2382">
              <w:rPr>
                <w:sz w:val="18"/>
                <w:szCs w:val="18"/>
                <w:lang w:val="fr-CA"/>
              </w:rPr>
              <w:t>’</w:t>
            </w:r>
            <w:r w:rsidRPr="00FB2608">
              <w:rPr>
                <w:sz w:val="18"/>
                <w:szCs w:val="18"/>
                <w:lang w:val="fr-CA"/>
              </w:rPr>
              <w:t>un format accessible ou d</w:t>
            </w:r>
            <w:r w:rsidR="003B2382">
              <w:rPr>
                <w:sz w:val="18"/>
                <w:szCs w:val="18"/>
                <w:lang w:val="fr-CA"/>
              </w:rPr>
              <w:t>’</w:t>
            </w:r>
            <w:r w:rsidRPr="00FB2608">
              <w:rPr>
                <w:sz w:val="18"/>
                <w:szCs w:val="18"/>
                <w:lang w:val="fr-CA"/>
              </w:rPr>
              <w:t>une aide à la communication</w:t>
            </w:r>
          </w:p>
        </w:tc>
        <w:tc>
          <w:tcPr>
            <w:tcW w:w="1276" w:type="dxa"/>
          </w:tcPr>
          <w:p w14:paraId="62F43A4F" w14:textId="439F5098" w:rsidR="001B25C0" w:rsidRPr="001B25C0" w:rsidRDefault="001B25C0" w:rsidP="001B25C0">
            <w:pPr>
              <w:rPr>
                <w:sz w:val="18"/>
                <w:szCs w:val="18"/>
                <w:lang w:val="fr-CA"/>
              </w:rPr>
            </w:pPr>
            <w:r w:rsidRPr="001B25C0">
              <w:rPr>
                <w:sz w:val="18"/>
                <w:szCs w:val="18"/>
                <w:lang w:val="fr-CA"/>
              </w:rPr>
              <w:lastRenderedPageBreak/>
              <w:t>L</w:t>
            </w:r>
            <w:r>
              <w:rPr>
                <w:sz w:val="18"/>
                <w:szCs w:val="18"/>
                <w:lang w:val="fr-CA"/>
              </w:rPr>
              <w:t xml:space="preserve">’équipe des </w:t>
            </w:r>
            <w:r w:rsidRPr="001B25C0">
              <w:rPr>
                <w:sz w:val="18"/>
                <w:szCs w:val="18"/>
                <w:lang w:val="fr-CA"/>
              </w:rPr>
              <w:t xml:space="preserve">programmes </w:t>
            </w:r>
            <w:r>
              <w:rPr>
                <w:sz w:val="18"/>
                <w:szCs w:val="18"/>
                <w:lang w:val="fr-CA"/>
              </w:rPr>
              <w:t>est</w:t>
            </w:r>
            <w:r w:rsidRPr="001B25C0">
              <w:rPr>
                <w:sz w:val="18"/>
                <w:szCs w:val="18"/>
                <w:lang w:val="fr-CA"/>
              </w:rPr>
              <w:t xml:space="preserve"> responsable de répondre aux demandes. L</w:t>
            </w:r>
            <w:r>
              <w:rPr>
                <w:sz w:val="18"/>
                <w:szCs w:val="18"/>
                <w:lang w:val="fr-CA"/>
              </w:rPr>
              <w:t>’équipe d</w:t>
            </w:r>
            <w:r w:rsidRPr="001B25C0">
              <w:rPr>
                <w:sz w:val="18"/>
                <w:szCs w:val="18"/>
                <w:lang w:val="fr-CA"/>
              </w:rPr>
              <w:t xml:space="preserve">es </w:t>
            </w:r>
            <w:r w:rsidRPr="001B25C0">
              <w:rPr>
                <w:sz w:val="18"/>
                <w:szCs w:val="18"/>
                <w:lang w:val="fr-CA"/>
              </w:rPr>
              <w:lastRenderedPageBreak/>
              <w:t>personnes, culture et appartenance peu</w:t>
            </w:r>
            <w:r>
              <w:rPr>
                <w:sz w:val="18"/>
                <w:szCs w:val="18"/>
                <w:lang w:val="fr-CA"/>
              </w:rPr>
              <w:t xml:space="preserve">t </w:t>
            </w:r>
            <w:r w:rsidRPr="001B25C0">
              <w:rPr>
                <w:sz w:val="18"/>
                <w:szCs w:val="18"/>
                <w:lang w:val="fr-CA"/>
              </w:rPr>
              <w:t>apporter leur soutien si nécessaire</w:t>
            </w:r>
          </w:p>
        </w:tc>
        <w:tc>
          <w:tcPr>
            <w:tcW w:w="1133" w:type="dxa"/>
          </w:tcPr>
          <w:p w14:paraId="4E6DC22A" w14:textId="0CB86899" w:rsidR="00032EDA" w:rsidRPr="00705FFC" w:rsidRDefault="00476390" w:rsidP="00511ECD">
            <w:pPr>
              <w:rPr>
                <w:sz w:val="18"/>
                <w:szCs w:val="18"/>
              </w:rPr>
            </w:pPr>
            <w:r w:rsidRPr="00FC5743">
              <w:rPr>
                <w:rFonts w:asciiTheme="majorHAnsi" w:eastAsiaTheme="majorEastAsia" w:hAnsiTheme="majorHAnsi" w:cstheme="majorBidi"/>
                <w:sz w:val="18"/>
                <w:szCs w:val="18"/>
              </w:rPr>
              <w:lastRenderedPageBreak/>
              <w:t>Jan</w:t>
            </w:r>
            <w:r>
              <w:rPr>
                <w:rFonts w:asciiTheme="majorHAnsi" w:eastAsiaTheme="majorEastAsia" w:hAnsiTheme="majorHAnsi" w:cstheme="majorBidi"/>
                <w:sz w:val="18"/>
                <w:szCs w:val="18"/>
              </w:rPr>
              <w:t>vier</w:t>
            </w:r>
            <w:r w:rsidR="00705FFC" w:rsidRPr="00705FFC">
              <w:rPr>
                <w:sz w:val="18"/>
                <w:szCs w:val="18"/>
              </w:rPr>
              <w:t xml:space="preserve"> 2012</w:t>
            </w:r>
          </w:p>
        </w:tc>
        <w:tc>
          <w:tcPr>
            <w:tcW w:w="1135" w:type="dxa"/>
          </w:tcPr>
          <w:p w14:paraId="63BE9A73" w14:textId="62625410" w:rsidR="00032EDA" w:rsidRPr="00705FFC" w:rsidRDefault="00476390" w:rsidP="00511ECD">
            <w:pPr>
              <w:rPr>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bl>
    <w:p w14:paraId="5D8E4748" w14:textId="77777777" w:rsidR="00CE151B" w:rsidRDefault="00CE151B" w:rsidP="00511ECD"/>
    <w:p w14:paraId="36517285" w14:textId="77777777" w:rsidR="00FC5743" w:rsidRDefault="00FC5743" w:rsidP="00511ECD"/>
    <w:p w14:paraId="6DA3183A" w14:textId="77777777" w:rsidR="00511ECD" w:rsidRDefault="00511ECD" w:rsidP="00511ECD">
      <w:pPr>
        <w:rPr>
          <w:rFonts w:asciiTheme="majorHAnsi" w:eastAsiaTheme="majorEastAsia" w:hAnsiTheme="majorHAnsi" w:cstheme="majorBidi"/>
          <w:b/>
          <w:sz w:val="26"/>
          <w:szCs w:val="26"/>
        </w:rPr>
      </w:pPr>
    </w:p>
    <w:p w14:paraId="24E566F4" w14:textId="790F82FA" w:rsidR="00705FFC" w:rsidRPr="003B7071" w:rsidRDefault="003B7071" w:rsidP="00511ECD">
      <w:pPr>
        <w:pStyle w:val="Titre2"/>
        <w:rPr>
          <w:b/>
          <w:color w:val="auto"/>
          <w:lang w:val="fr-CA"/>
        </w:rPr>
      </w:pPr>
      <w:bookmarkStart w:id="6" w:name="_Toc185527855"/>
      <w:r w:rsidRPr="003B7071">
        <w:rPr>
          <w:b/>
          <w:color w:val="auto"/>
          <w:lang w:val="fr-CA"/>
        </w:rPr>
        <w:t>Partie</w:t>
      </w:r>
      <w:r w:rsidR="00A67FA0">
        <w:rPr>
          <w:b/>
          <w:color w:val="auto"/>
          <w:lang w:val="fr-CA"/>
        </w:rPr>
        <w:t> </w:t>
      </w:r>
      <w:r w:rsidRPr="003B7071">
        <w:rPr>
          <w:b/>
          <w:color w:val="auto"/>
          <w:lang w:val="fr-CA"/>
        </w:rPr>
        <w:t xml:space="preserve">2 </w:t>
      </w:r>
      <w:r w:rsidR="00A67FA0">
        <w:rPr>
          <w:b/>
          <w:color w:val="auto"/>
          <w:lang w:val="fr-CA"/>
        </w:rPr>
        <w:t>—</w:t>
      </w:r>
      <w:r w:rsidRPr="003B7071">
        <w:rPr>
          <w:b/>
          <w:color w:val="auto"/>
          <w:lang w:val="fr-CA"/>
        </w:rPr>
        <w:t xml:space="preserve"> Norme sur l’information et la communication</w:t>
      </w:r>
      <w:bookmarkEnd w:id="6"/>
    </w:p>
    <w:tbl>
      <w:tblPr>
        <w:tblStyle w:val="Grilledutableau"/>
        <w:tblW w:w="10627" w:type="dxa"/>
        <w:tblLook w:val="04A0" w:firstRow="1" w:lastRow="0" w:firstColumn="1" w:lastColumn="0" w:noHBand="0" w:noVBand="1"/>
      </w:tblPr>
      <w:tblGrid>
        <w:gridCol w:w="2743"/>
        <w:gridCol w:w="3528"/>
        <w:gridCol w:w="2219"/>
        <w:gridCol w:w="1029"/>
        <w:gridCol w:w="1108"/>
      </w:tblGrid>
      <w:tr w:rsidR="00E11B55" w14:paraId="3D9DEB4B" w14:textId="77777777" w:rsidTr="00414DD7">
        <w:tc>
          <w:tcPr>
            <w:tcW w:w="2956" w:type="dxa"/>
            <w:shd w:val="clear" w:color="auto" w:fill="FBE4D5" w:themeFill="accent2" w:themeFillTint="33"/>
          </w:tcPr>
          <w:p w14:paraId="0FAB581D" w14:textId="0E75A07E" w:rsidR="00E11B55" w:rsidRPr="00032EDA" w:rsidRDefault="00E11B55" w:rsidP="00E11B55">
            <w:pPr>
              <w:rPr>
                <w:sz w:val="18"/>
                <w:szCs w:val="18"/>
              </w:rPr>
            </w:pPr>
            <w:r w:rsidRPr="00320A86">
              <w:rPr>
                <w:sz w:val="18"/>
                <w:szCs w:val="18"/>
                <w:lang w:val="fr-CA"/>
              </w:rPr>
              <w:t>Exigences en matière d</w:t>
            </w:r>
            <w:r>
              <w:rPr>
                <w:sz w:val="18"/>
                <w:szCs w:val="18"/>
                <w:lang w:val="fr-CA"/>
              </w:rPr>
              <w:t>’</w:t>
            </w:r>
            <w:r w:rsidRPr="00320A86">
              <w:rPr>
                <w:sz w:val="18"/>
                <w:szCs w:val="18"/>
                <w:lang w:val="fr-CA"/>
              </w:rPr>
              <w:t>accessibilité</w:t>
            </w:r>
          </w:p>
        </w:tc>
        <w:tc>
          <w:tcPr>
            <w:tcW w:w="3778" w:type="dxa"/>
            <w:shd w:val="clear" w:color="auto" w:fill="FBE4D5" w:themeFill="accent2" w:themeFillTint="33"/>
          </w:tcPr>
          <w:p w14:paraId="3B60103A" w14:textId="369E3021" w:rsidR="00E11B55" w:rsidRPr="00032EDA" w:rsidRDefault="00E11B55" w:rsidP="00E11B55">
            <w:pPr>
              <w:rPr>
                <w:sz w:val="18"/>
                <w:szCs w:val="18"/>
              </w:rPr>
            </w:pPr>
            <w:proofErr w:type="spellStart"/>
            <w:r>
              <w:rPr>
                <w:sz w:val="18"/>
                <w:szCs w:val="18"/>
              </w:rPr>
              <w:t>Commentaires</w:t>
            </w:r>
            <w:proofErr w:type="spellEnd"/>
            <w:r>
              <w:rPr>
                <w:sz w:val="18"/>
                <w:szCs w:val="18"/>
              </w:rPr>
              <w:t>/</w:t>
            </w:r>
            <w:proofErr w:type="spellStart"/>
            <w:r>
              <w:rPr>
                <w:sz w:val="18"/>
                <w:szCs w:val="18"/>
              </w:rPr>
              <w:t>Stratégie</w:t>
            </w:r>
            <w:proofErr w:type="spellEnd"/>
          </w:p>
        </w:tc>
        <w:tc>
          <w:tcPr>
            <w:tcW w:w="1687" w:type="dxa"/>
            <w:shd w:val="clear" w:color="auto" w:fill="FBE4D5" w:themeFill="accent2" w:themeFillTint="33"/>
          </w:tcPr>
          <w:p w14:paraId="6F5B43AE" w14:textId="113DBC1F" w:rsidR="00E11B55" w:rsidRPr="00032EDA" w:rsidRDefault="00E11B55" w:rsidP="00E11B55">
            <w:pPr>
              <w:rPr>
                <w:sz w:val="18"/>
                <w:szCs w:val="18"/>
              </w:rPr>
            </w:pPr>
            <w:proofErr w:type="spellStart"/>
            <w:r>
              <w:rPr>
                <w:sz w:val="18"/>
                <w:szCs w:val="18"/>
              </w:rPr>
              <w:t>Responsable</w:t>
            </w:r>
            <w:proofErr w:type="spellEnd"/>
          </w:p>
        </w:tc>
        <w:tc>
          <w:tcPr>
            <w:tcW w:w="1080" w:type="dxa"/>
            <w:shd w:val="clear" w:color="auto" w:fill="FBE4D5" w:themeFill="accent2" w:themeFillTint="33"/>
          </w:tcPr>
          <w:p w14:paraId="1B405669" w14:textId="650435BE" w:rsidR="00E11B55" w:rsidRPr="00032EDA" w:rsidRDefault="00E11B55" w:rsidP="00E11B55">
            <w:pPr>
              <w:rPr>
                <w:sz w:val="18"/>
                <w:szCs w:val="18"/>
              </w:rPr>
            </w:pPr>
            <w:r>
              <w:rPr>
                <w:sz w:val="18"/>
                <w:szCs w:val="18"/>
              </w:rPr>
              <w:t xml:space="preserve">Date </w:t>
            </w:r>
            <w:proofErr w:type="spellStart"/>
            <w:r>
              <w:rPr>
                <w:sz w:val="18"/>
                <w:szCs w:val="18"/>
              </w:rPr>
              <w:t>limite</w:t>
            </w:r>
            <w:proofErr w:type="spellEnd"/>
          </w:p>
        </w:tc>
        <w:tc>
          <w:tcPr>
            <w:tcW w:w="1126" w:type="dxa"/>
            <w:shd w:val="clear" w:color="auto" w:fill="FBE4D5" w:themeFill="accent2" w:themeFillTint="33"/>
          </w:tcPr>
          <w:p w14:paraId="0E3FB8B7" w14:textId="169F5F5A" w:rsidR="00E11B55" w:rsidRPr="00032EDA" w:rsidRDefault="00E11B55" w:rsidP="00E11B55">
            <w:pPr>
              <w:rPr>
                <w:sz w:val="18"/>
                <w:szCs w:val="18"/>
              </w:rPr>
            </w:pPr>
            <w:proofErr w:type="spellStart"/>
            <w:r w:rsidRPr="00032EDA">
              <w:rPr>
                <w:sz w:val="18"/>
                <w:szCs w:val="18"/>
              </w:rPr>
              <w:t>Statu</w:t>
            </w:r>
            <w:r>
              <w:rPr>
                <w:sz w:val="18"/>
                <w:szCs w:val="18"/>
              </w:rPr>
              <w:t>t</w:t>
            </w:r>
            <w:proofErr w:type="spellEnd"/>
          </w:p>
        </w:tc>
      </w:tr>
      <w:tr w:rsidR="00705FFC" w:rsidRPr="00AD7067" w14:paraId="1814567D" w14:textId="77777777" w:rsidTr="00414DD7">
        <w:tc>
          <w:tcPr>
            <w:tcW w:w="2956" w:type="dxa"/>
          </w:tcPr>
          <w:p w14:paraId="0A266470" w14:textId="77777777" w:rsidR="002749D8" w:rsidRPr="002749D8" w:rsidRDefault="002749D8" w:rsidP="002749D8">
            <w:pPr>
              <w:rPr>
                <w:rFonts w:cstheme="minorHAnsi"/>
                <w:sz w:val="18"/>
                <w:szCs w:val="18"/>
                <w:lang w:val="fr-CA"/>
              </w:rPr>
            </w:pPr>
            <w:r w:rsidRPr="002749D8">
              <w:rPr>
                <w:rFonts w:cstheme="minorHAnsi"/>
                <w:sz w:val="18"/>
                <w:szCs w:val="18"/>
                <w:lang w:val="fr-CA"/>
              </w:rPr>
              <w:t>Formation</w:t>
            </w:r>
          </w:p>
          <w:p w14:paraId="7DE7D8EE" w14:textId="77F4C7C5" w:rsidR="002749D8" w:rsidRPr="002749D8" w:rsidRDefault="002749D8" w:rsidP="002749D8">
            <w:pPr>
              <w:rPr>
                <w:rFonts w:cstheme="minorHAnsi"/>
                <w:sz w:val="18"/>
                <w:szCs w:val="18"/>
                <w:lang w:val="fr-CA"/>
              </w:rPr>
            </w:pPr>
            <w:r w:rsidRPr="002749D8">
              <w:rPr>
                <w:rFonts w:cstheme="minorHAnsi"/>
                <w:sz w:val="18"/>
                <w:szCs w:val="18"/>
                <w:lang w:val="fr-CA"/>
              </w:rPr>
              <w:t>• Loi de 2005 sur l</w:t>
            </w:r>
            <w:r w:rsidR="00424543">
              <w:rPr>
                <w:rFonts w:cstheme="minorHAnsi"/>
                <w:sz w:val="18"/>
                <w:szCs w:val="18"/>
                <w:lang w:val="fr-CA"/>
              </w:rPr>
              <w:t>’</w:t>
            </w:r>
            <w:r w:rsidRPr="002749D8">
              <w:rPr>
                <w:rFonts w:cstheme="minorHAnsi"/>
                <w:sz w:val="18"/>
                <w:szCs w:val="18"/>
                <w:lang w:val="fr-CA"/>
              </w:rPr>
              <w:t>accessibilité pour les personnes handicapées de l</w:t>
            </w:r>
            <w:r w:rsidR="00424543">
              <w:rPr>
                <w:rFonts w:cstheme="minorHAnsi"/>
                <w:sz w:val="18"/>
                <w:szCs w:val="18"/>
                <w:lang w:val="fr-CA"/>
              </w:rPr>
              <w:t>’</w:t>
            </w:r>
            <w:r w:rsidRPr="002749D8">
              <w:rPr>
                <w:rFonts w:cstheme="minorHAnsi"/>
                <w:sz w:val="18"/>
                <w:szCs w:val="18"/>
                <w:lang w:val="fr-CA"/>
              </w:rPr>
              <w:t>Ontario</w:t>
            </w:r>
            <w:r w:rsidR="00A67FA0">
              <w:rPr>
                <w:rFonts w:cstheme="minorHAnsi"/>
                <w:sz w:val="18"/>
                <w:szCs w:val="18"/>
                <w:lang w:val="fr-CA"/>
              </w:rPr>
              <w:t> </w:t>
            </w:r>
            <w:r w:rsidRPr="002749D8">
              <w:rPr>
                <w:rFonts w:cstheme="minorHAnsi"/>
                <w:sz w:val="18"/>
                <w:szCs w:val="18"/>
                <w:lang w:val="fr-CA"/>
              </w:rPr>
              <w:t>;</w:t>
            </w:r>
          </w:p>
          <w:p w14:paraId="1CF5BD26" w14:textId="77777777" w:rsidR="00FA1A25" w:rsidRDefault="002749D8" w:rsidP="002749D8">
            <w:pPr>
              <w:rPr>
                <w:rFonts w:cstheme="minorHAnsi"/>
                <w:sz w:val="18"/>
                <w:szCs w:val="18"/>
                <w:lang w:val="fr-CA"/>
              </w:rPr>
            </w:pPr>
            <w:r w:rsidRPr="002749D8">
              <w:rPr>
                <w:rFonts w:cstheme="minorHAnsi"/>
                <w:sz w:val="18"/>
                <w:szCs w:val="18"/>
                <w:lang w:val="fr-CA"/>
              </w:rPr>
              <w:t>• Normes d</w:t>
            </w:r>
            <w:r w:rsidR="00FA1A25">
              <w:rPr>
                <w:rFonts w:cstheme="minorHAnsi"/>
                <w:sz w:val="18"/>
                <w:szCs w:val="18"/>
                <w:lang w:val="fr-CA"/>
              </w:rPr>
              <w:t>’</w:t>
            </w:r>
            <w:r w:rsidRPr="002749D8">
              <w:rPr>
                <w:rFonts w:cstheme="minorHAnsi"/>
                <w:sz w:val="18"/>
                <w:szCs w:val="18"/>
                <w:lang w:val="fr-CA"/>
              </w:rPr>
              <w:t xml:space="preserve">accessibilité intégrées </w:t>
            </w:r>
            <w:proofErr w:type="spellStart"/>
            <w:r w:rsidRPr="002749D8">
              <w:rPr>
                <w:rFonts w:cstheme="minorHAnsi"/>
                <w:sz w:val="18"/>
                <w:szCs w:val="18"/>
                <w:lang w:val="fr-CA"/>
              </w:rPr>
              <w:t>Règl</w:t>
            </w:r>
            <w:proofErr w:type="spellEnd"/>
            <w:r w:rsidRPr="002749D8">
              <w:rPr>
                <w:rFonts w:cstheme="minorHAnsi"/>
                <w:sz w:val="18"/>
                <w:szCs w:val="18"/>
                <w:lang w:val="fr-CA"/>
              </w:rPr>
              <w:t xml:space="preserve">. </w:t>
            </w:r>
            <w:proofErr w:type="gramStart"/>
            <w:r w:rsidRPr="002749D8">
              <w:rPr>
                <w:rFonts w:cstheme="minorHAnsi"/>
                <w:sz w:val="18"/>
                <w:szCs w:val="18"/>
                <w:lang w:val="fr-CA"/>
              </w:rPr>
              <w:t>de</w:t>
            </w:r>
            <w:proofErr w:type="gramEnd"/>
            <w:r w:rsidRPr="002749D8">
              <w:rPr>
                <w:rFonts w:cstheme="minorHAnsi"/>
                <w:sz w:val="18"/>
                <w:szCs w:val="18"/>
                <w:lang w:val="fr-CA"/>
              </w:rPr>
              <w:t xml:space="preserve"> l</w:t>
            </w:r>
            <w:r w:rsidR="00FA1A25">
              <w:rPr>
                <w:rFonts w:cstheme="minorHAnsi"/>
                <w:sz w:val="18"/>
                <w:szCs w:val="18"/>
                <w:lang w:val="fr-CA"/>
              </w:rPr>
              <w:t>’</w:t>
            </w:r>
            <w:r w:rsidRPr="002749D8">
              <w:rPr>
                <w:rFonts w:cstheme="minorHAnsi"/>
                <w:sz w:val="18"/>
                <w:szCs w:val="18"/>
                <w:lang w:val="fr-CA"/>
              </w:rPr>
              <w:t xml:space="preserve">Ont. 191/11 : </w:t>
            </w:r>
          </w:p>
          <w:p w14:paraId="2188891F" w14:textId="25C6E626" w:rsidR="002749D8" w:rsidRPr="002749D8" w:rsidRDefault="002749D8" w:rsidP="002749D8">
            <w:pPr>
              <w:rPr>
                <w:rFonts w:cstheme="minorHAnsi"/>
                <w:sz w:val="18"/>
                <w:szCs w:val="18"/>
                <w:lang w:val="fr-CA"/>
              </w:rPr>
            </w:pPr>
            <w:r w:rsidRPr="002749D8">
              <w:rPr>
                <w:rFonts w:cstheme="minorHAnsi"/>
                <w:sz w:val="18"/>
                <w:szCs w:val="18"/>
                <w:lang w:val="fr-CA"/>
              </w:rPr>
              <w:t>• Code des droits de la personne tel qu</w:t>
            </w:r>
            <w:r w:rsidR="00FA1A25">
              <w:rPr>
                <w:rFonts w:cstheme="minorHAnsi"/>
                <w:sz w:val="18"/>
                <w:szCs w:val="18"/>
                <w:lang w:val="fr-CA"/>
              </w:rPr>
              <w:t>’</w:t>
            </w:r>
            <w:r w:rsidRPr="002749D8">
              <w:rPr>
                <w:rFonts w:cstheme="minorHAnsi"/>
                <w:sz w:val="18"/>
                <w:szCs w:val="18"/>
                <w:lang w:val="fr-CA"/>
              </w:rPr>
              <w:t>il s</w:t>
            </w:r>
            <w:r w:rsidR="00A67FA0">
              <w:rPr>
                <w:rFonts w:cstheme="minorHAnsi"/>
                <w:sz w:val="18"/>
                <w:szCs w:val="18"/>
                <w:lang w:val="fr-CA"/>
              </w:rPr>
              <w:t>’</w:t>
            </w:r>
            <w:r w:rsidRPr="002749D8">
              <w:rPr>
                <w:rFonts w:cstheme="minorHAnsi"/>
                <w:sz w:val="18"/>
                <w:szCs w:val="18"/>
                <w:lang w:val="fr-CA"/>
              </w:rPr>
              <w:t>applique aux personnes handicapées</w:t>
            </w:r>
          </w:p>
        </w:tc>
        <w:tc>
          <w:tcPr>
            <w:tcW w:w="3778" w:type="dxa"/>
          </w:tcPr>
          <w:p w14:paraId="68205DE5" w14:textId="4A8B56FC" w:rsidR="00BE0ACB" w:rsidRPr="00AE139E" w:rsidRDefault="00BE0ACB" w:rsidP="00BE0ACB">
            <w:pPr>
              <w:rPr>
                <w:rFonts w:asciiTheme="majorHAnsi" w:eastAsiaTheme="majorEastAsia" w:hAnsiTheme="majorHAnsi" w:cstheme="majorBidi"/>
                <w:sz w:val="18"/>
                <w:szCs w:val="18"/>
                <w:lang w:val="fr-CA"/>
              </w:rPr>
            </w:pPr>
            <w:r w:rsidRPr="00AE139E">
              <w:rPr>
                <w:rFonts w:asciiTheme="majorHAnsi" w:eastAsiaTheme="majorEastAsia" w:hAnsiTheme="majorHAnsi" w:cstheme="majorBidi"/>
                <w:sz w:val="18"/>
                <w:szCs w:val="18"/>
                <w:lang w:val="fr-CA"/>
              </w:rPr>
              <w:t>La politique de service à la clientèle identifie la formation. Actuellement, le personnel, les bénévoles et d</w:t>
            </w:r>
            <w:r w:rsidR="00A67FA0">
              <w:rPr>
                <w:rFonts w:asciiTheme="majorHAnsi" w:eastAsiaTheme="majorEastAsia" w:hAnsiTheme="majorHAnsi" w:cstheme="majorBidi"/>
                <w:sz w:val="18"/>
                <w:szCs w:val="18"/>
                <w:lang w:val="fr-CA"/>
              </w:rPr>
              <w:t>’</w:t>
            </w:r>
            <w:r w:rsidRPr="00AE139E">
              <w:rPr>
                <w:rFonts w:asciiTheme="majorHAnsi" w:eastAsiaTheme="majorEastAsia" w:hAnsiTheme="majorHAnsi" w:cstheme="majorBidi"/>
                <w:sz w:val="18"/>
                <w:szCs w:val="18"/>
                <w:lang w:val="fr-CA"/>
              </w:rPr>
              <w:t>autres personnes sont formés en ligne.</w:t>
            </w:r>
          </w:p>
          <w:p w14:paraId="0E01235C" w14:textId="3CBF18F8" w:rsidR="00705FFC" w:rsidRPr="00BE0ACB" w:rsidRDefault="00705FFC" w:rsidP="00511ECD">
            <w:pPr>
              <w:rPr>
                <w:rFonts w:asciiTheme="majorHAnsi" w:hAnsiTheme="majorHAnsi" w:cstheme="majorBidi"/>
                <w:sz w:val="18"/>
                <w:szCs w:val="18"/>
                <w:lang w:val="fr-CA"/>
              </w:rPr>
            </w:pPr>
          </w:p>
          <w:p w14:paraId="5CB643A2" w14:textId="77777777" w:rsidR="00705FFC" w:rsidRPr="00BE0ACB" w:rsidRDefault="00705FFC" w:rsidP="00511ECD">
            <w:pPr>
              <w:rPr>
                <w:rFonts w:asciiTheme="majorHAnsi" w:eastAsiaTheme="majorEastAsia" w:hAnsiTheme="majorHAnsi" w:cstheme="majorBidi"/>
                <w:sz w:val="18"/>
                <w:szCs w:val="18"/>
                <w:lang w:val="fr-CA"/>
              </w:rPr>
            </w:pPr>
          </w:p>
          <w:p w14:paraId="574D7511" w14:textId="77777777" w:rsidR="00705FFC" w:rsidRPr="00BE0ACB" w:rsidRDefault="00705FFC" w:rsidP="00511ECD">
            <w:pPr>
              <w:rPr>
                <w:rFonts w:asciiTheme="majorHAnsi" w:eastAsiaTheme="majorEastAsia" w:hAnsiTheme="majorHAnsi" w:cstheme="majorBidi"/>
                <w:sz w:val="18"/>
                <w:szCs w:val="18"/>
                <w:lang w:val="fr-CA"/>
              </w:rPr>
            </w:pPr>
          </w:p>
          <w:p w14:paraId="5190F780" w14:textId="77777777" w:rsidR="00705FFC" w:rsidRPr="00BE0ACB" w:rsidRDefault="00705FFC" w:rsidP="00511ECD">
            <w:pPr>
              <w:rPr>
                <w:rFonts w:asciiTheme="majorHAnsi" w:eastAsiaTheme="majorEastAsia" w:hAnsiTheme="majorHAnsi" w:cstheme="majorBidi"/>
                <w:sz w:val="18"/>
                <w:szCs w:val="18"/>
                <w:lang w:val="fr-CA"/>
              </w:rPr>
            </w:pPr>
          </w:p>
          <w:p w14:paraId="4173B9AC" w14:textId="77777777" w:rsidR="00705FFC" w:rsidRPr="00BE0ACB" w:rsidRDefault="00705FFC" w:rsidP="00511ECD">
            <w:pPr>
              <w:rPr>
                <w:rFonts w:asciiTheme="majorHAnsi" w:eastAsiaTheme="majorEastAsia" w:hAnsiTheme="majorHAnsi" w:cstheme="majorBidi"/>
                <w:sz w:val="18"/>
                <w:szCs w:val="18"/>
                <w:lang w:val="fr-CA"/>
              </w:rPr>
            </w:pPr>
          </w:p>
          <w:p w14:paraId="0FA6E2F7" w14:textId="77777777" w:rsidR="00705FFC" w:rsidRPr="00BE0ACB" w:rsidRDefault="00705FFC" w:rsidP="00511ECD">
            <w:pPr>
              <w:rPr>
                <w:rFonts w:asciiTheme="majorHAnsi" w:eastAsiaTheme="majorEastAsia" w:hAnsiTheme="majorHAnsi" w:cstheme="majorBidi"/>
                <w:sz w:val="18"/>
                <w:szCs w:val="18"/>
                <w:lang w:val="fr-CA"/>
              </w:rPr>
            </w:pPr>
          </w:p>
          <w:p w14:paraId="105DCB4A" w14:textId="6A3A0D0B" w:rsidR="00AE139E" w:rsidRPr="00AE139E" w:rsidRDefault="00AE139E" w:rsidP="00AE139E">
            <w:pPr>
              <w:rPr>
                <w:rFonts w:asciiTheme="majorHAnsi" w:eastAsiaTheme="majorEastAsia" w:hAnsiTheme="majorHAnsi" w:cstheme="majorBidi"/>
                <w:sz w:val="18"/>
                <w:szCs w:val="18"/>
                <w:lang w:val="fr-CA"/>
              </w:rPr>
            </w:pPr>
            <w:r w:rsidRPr="00AE139E">
              <w:rPr>
                <w:rFonts w:asciiTheme="majorHAnsi" w:eastAsiaTheme="majorEastAsia" w:hAnsiTheme="majorHAnsi" w:cstheme="majorBidi"/>
                <w:sz w:val="18"/>
                <w:szCs w:val="18"/>
                <w:lang w:val="fr-CA"/>
              </w:rPr>
              <w:t>Formation offerte à tout le personnel, aux étudiants et aux bénévoles sur le Code des droits de la personne tel qu</w:t>
            </w:r>
            <w:r w:rsidR="00BE0ACB">
              <w:rPr>
                <w:rFonts w:asciiTheme="majorHAnsi" w:eastAsiaTheme="majorEastAsia" w:hAnsiTheme="majorHAnsi" w:cstheme="majorBidi"/>
                <w:sz w:val="18"/>
                <w:szCs w:val="18"/>
                <w:lang w:val="fr-CA"/>
              </w:rPr>
              <w:t>’</w:t>
            </w:r>
            <w:r w:rsidRPr="00AE139E">
              <w:rPr>
                <w:rFonts w:asciiTheme="majorHAnsi" w:eastAsiaTheme="majorEastAsia" w:hAnsiTheme="majorHAnsi" w:cstheme="majorBidi"/>
                <w:sz w:val="18"/>
                <w:szCs w:val="18"/>
                <w:lang w:val="fr-CA"/>
              </w:rPr>
              <w:t>il s</w:t>
            </w:r>
            <w:r w:rsidR="00BE0ACB">
              <w:rPr>
                <w:rFonts w:asciiTheme="majorHAnsi" w:eastAsiaTheme="majorEastAsia" w:hAnsiTheme="majorHAnsi" w:cstheme="majorBidi"/>
                <w:sz w:val="18"/>
                <w:szCs w:val="18"/>
                <w:lang w:val="fr-CA"/>
              </w:rPr>
              <w:t>’</w:t>
            </w:r>
            <w:r w:rsidRPr="00AE139E">
              <w:rPr>
                <w:rFonts w:asciiTheme="majorHAnsi" w:eastAsiaTheme="majorEastAsia" w:hAnsiTheme="majorHAnsi" w:cstheme="majorBidi"/>
                <w:sz w:val="18"/>
                <w:szCs w:val="18"/>
                <w:lang w:val="fr-CA"/>
              </w:rPr>
              <w:t>applique aux personnes handicapées et sur le Règlement sur les normes d</w:t>
            </w:r>
            <w:r w:rsidR="00BE0ACB">
              <w:rPr>
                <w:rFonts w:asciiTheme="majorHAnsi" w:eastAsiaTheme="majorEastAsia" w:hAnsiTheme="majorHAnsi" w:cstheme="majorBidi"/>
                <w:sz w:val="18"/>
                <w:szCs w:val="18"/>
                <w:lang w:val="fr-CA"/>
              </w:rPr>
              <w:t>’</w:t>
            </w:r>
            <w:r w:rsidRPr="00AE139E">
              <w:rPr>
                <w:rFonts w:asciiTheme="majorHAnsi" w:eastAsiaTheme="majorEastAsia" w:hAnsiTheme="majorHAnsi" w:cstheme="majorBidi"/>
                <w:sz w:val="18"/>
                <w:szCs w:val="18"/>
                <w:lang w:val="fr-CA"/>
              </w:rPr>
              <w:t>accessibilité intégrées.</w:t>
            </w:r>
          </w:p>
        </w:tc>
        <w:tc>
          <w:tcPr>
            <w:tcW w:w="1687" w:type="dxa"/>
          </w:tcPr>
          <w:p w14:paraId="794C9A24" w14:textId="6634D3F4" w:rsidR="00705FFC" w:rsidRPr="00705FFC" w:rsidRDefault="00476390" w:rsidP="00511ECD">
            <w:pPr>
              <w:rPr>
                <w:rFonts w:asciiTheme="majorHAnsi" w:hAnsiTheme="majorHAnsi" w:cstheme="majorBidi"/>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1080" w:type="dxa"/>
          </w:tcPr>
          <w:p w14:paraId="0AC24321" w14:textId="648CCFD3" w:rsidR="00705FFC" w:rsidRPr="00705FFC" w:rsidRDefault="00476390" w:rsidP="00511ECD">
            <w:pPr>
              <w:rPr>
                <w:rFonts w:asciiTheme="majorHAnsi" w:hAnsiTheme="majorHAnsi" w:cstheme="majorBidi"/>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w:t>
            </w:r>
            <w:r w:rsidR="00705FFC" w:rsidRPr="00705FFC">
              <w:rPr>
                <w:rFonts w:asciiTheme="majorHAnsi" w:hAnsiTheme="majorHAnsi" w:cstheme="majorBidi"/>
                <w:sz w:val="18"/>
                <w:szCs w:val="18"/>
              </w:rPr>
              <w:t>2015</w:t>
            </w:r>
          </w:p>
          <w:p w14:paraId="5995F9C4" w14:textId="77777777" w:rsidR="00705FFC" w:rsidRPr="00705FFC" w:rsidRDefault="00705FFC" w:rsidP="00511ECD">
            <w:pPr>
              <w:rPr>
                <w:rFonts w:asciiTheme="majorHAnsi" w:eastAsiaTheme="majorEastAsia" w:hAnsiTheme="majorHAnsi" w:cstheme="majorBidi"/>
                <w:sz w:val="18"/>
                <w:szCs w:val="18"/>
              </w:rPr>
            </w:pPr>
          </w:p>
          <w:p w14:paraId="699BB78E" w14:textId="77777777" w:rsidR="00705FFC" w:rsidRPr="00705FFC" w:rsidRDefault="00705FFC" w:rsidP="00511ECD">
            <w:pPr>
              <w:rPr>
                <w:rFonts w:asciiTheme="majorHAnsi" w:eastAsiaTheme="majorEastAsia" w:hAnsiTheme="majorHAnsi" w:cstheme="majorBidi"/>
                <w:sz w:val="18"/>
                <w:szCs w:val="18"/>
              </w:rPr>
            </w:pPr>
          </w:p>
          <w:p w14:paraId="15DDBD3F" w14:textId="77777777" w:rsidR="00705FFC" w:rsidRPr="00705FFC" w:rsidRDefault="00705FFC" w:rsidP="00511ECD">
            <w:pPr>
              <w:rPr>
                <w:rFonts w:asciiTheme="majorHAnsi" w:eastAsiaTheme="majorEastAsia" w:hAnsiTheme="majorHAnsi" w:cstheme="majorBidi"/>
                <w:sz w:val="18"/>
                <w:szCs w:val="18"/>
              </w:rPr>
            </w:pPr>
          </w:p>
          <w:p w14:paraId="76B1DA9F" w14:textId="77777777" w:rsidR="00705FFC" w:rsidRPr="00705FFC" w:rsidRDefault="00705FFC" w:rsidP="00511ECD">
            <w:pPr>
              <w:rPr>
                <w:rFonts w:asciiTheme="majorHAnsi" w:eastAsiaTheme="majorEastAsia" w:hAnsiTheme="majorHAnsi" w:cstheme="majorBidi"/>
                <w:sz w:val="18"/>
                <w:szCs w:val="18"/>
              </w:rPr>
            </w:pPr>
          </w:p>
          <w:p w14:paraId="201D0392" w14:textId="77777777" w:rsidR="00705FFC" w:rsidRPr="00705FFC" w:rsidRDefault="00705FFC" w:rsidP="00511ECD">
            <w:pPr>
              <w:rPr>
                <w:rFonts w:asciiTheme="majorHAnsi" w:eastAsiaTheme="majorEastAsia" w:hAnsiTheme="majorHAnsi" w:cstheme="majorBidi"/>
                <w:sz w:val="18"/>
                <w:szCs w:val="18"/>
              </w:rPr>
            </w:pPr>
          </w:p>
          <w:p w14:paraId="141EAA9E" w14:textId="77777777" w:rsidR="00705FFC" w:rsidRPr="00705FFC" w:rsidRDefault="00705FFC" w:rsidP="00511ECD">
            <w:pPr>
              <w:rPr>
                <w:rFonts w:asciiTheme="majorHAnsi" w:eastAsiaTheme="majorEastAsia" w:hAnsiTheme="majorHAnsi" w:cstheme="majorBidi"/>
                <w:sz w:val="18"/>
                <w:szCs w:val="18"/>
              </w:rPr>
            </w:pPr>
          </w:p>
          <w:p w14:paraId="77843A2C" w14:textId="6760B44B" w:rsidR="00705FFC" w:rsidRPr="00705FFC" w:rsidRDefault="00476390"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w:t>
            </w:r>
            <w:r w:rsidR="00705FFC" w:rsidRPr="00705FFC">
              <w:rPr>
                <w:rFonts w:asciiTheme="majorHAnsi" w:eastAsiaTheme="majorEastAsia" w:hAnsiTheme="majorHAnsi" w:cstheme="majorBidi"/>
                <w:sz w:val="18"/>
                <w:szCs w:val="18"/>
              </w:rPr>
              <w:t>2016</w:t>
            </w:r>
          </w:p>
        </w:tc>
        <w:tc>
          <w:tcPr>
            <w:tcW w:w="1126" w:type="dxa"/>
          </w:tcPr>
          <w:p w14:paraId="7A3FCE7A" w14:textId="77777777" w:rsidR="005537A1" w:rsidRPr="005537A1" w:rsidRDefault="005537A1" w:rsidP="005537A1">
            <w:pPr>
              <w:rPr>
                <w:rFonts w:asciiTheme="majorHAnsi" w:eastAsiaTheme="majorEastAsia" w:hAnsiTheme="majorHAnsi" w:cstheme="majorBidi"/>
                <w:sz w:val="18"/>
                <w:szCs w:val="18"/>
                <w:lang w:val="fr-CA"/>
              </w:rPr>
            </w:pPr>
            <w:r w:rsidRPr="005537A1">
              <w:rPr>
                <w:rFonts w:asciiTheme="majorHAnsi" w:eastAsiaTheme="majorEastAsia" w:hAnsiTheme="majorHAnsi" w:cstheme="majorBidi"/>
                <w:sz w:val="18"/>
                <w:szCs w:val="18"/>
                <w:lang w:val="fr-CA"/>
              </w:rPr>
              <w:t>Formation standard sur le service client terminée</w:t>
            </w:r>
          </w:p>
          <w:p w14:paraId="7CE108B7" w14:textId="77777777" w:rsidR="005537A1" w:rsidRPr="005537A1" w:rsidRDefault="005537A1" w:rsidP="005537A1">
            <w:pPr>
              <w:rPr>
                <w:rFonts w:asciiTheme="majorHAnsi" w:eastAsiaTheme="majorEastAsia" w:hAnsiTheme="majorHAnsi" w:cstheme="majorBidi"/>
                <w:sz w:val="18"/>
                <w:szCs w:val="18"/>
                <w:lang w:val="fr-CA"/>
              </w:rPr>
            </w:pPr>
          </w:p>
          <w:p w14:paraId="24E8F539" w14:textId="00B2EAB9" w:rsidR="005537A1" w:rsidRPr="005537A1" w:rsidRDefault="005537A1" w:rsidP="005537A1">
            <w:pPr>
              <w:rPr>
                <w:rFonts w:asciiTheme="majorHAnsi" w:eastAsiaTheme="majorEastAsia" w:hAnsiTheme="majorHAnsi" w:cstheme="majorBidi"/>
                <w:sz w:val="18"/>
                <w:szCs w:val="18"/>
                <w:lang w:val="fr-CA"/>
              </w:rPr>
            </w:pPr>
            <w:r w:rsidRPr="005537A1">
              <w:rPr>
                <w:rFonts w:asciiTheme="majorHAnsi" w:eastAsiaTheme="majorEastAsia" w:hAnsiTheme="majorHAnsi" w:cstheme="majorBidi"/>
                <w:sz w:val="18"/>
                <w:szCs w:val="18"/>
                <w:lang w:val="fr-CA"/>
              </w:rPr>
              <w:t xml:space="preserve">Formation sur les droits de </w:t>
            </w:r>
            <w:r>
              <w:rPr>
                <w:rFonts w:asciiTheme="majorHAnsi" w:eastAsiaTheme="majorEastAsia" w:hAnsiTheme="majorHAnsi" w:cstheme="majorBidi"/>
                <w:sz w:val="18"/>
                <w:szCs w:val="18"/>
                <w:lang w:val="fr-CA"/>
              </w:rPr>
              <w:t xml:space="preserve">la personne </w:t>
            </w:r>
            <w:r w:rsidRPr="005537A1">
              <w:rPr>
                <w:rFonts w:asciiTheme="majorHAnsi" w:eastAsiaTheme="majorEastAsia" w:hAnsiTheme="majorHAnsi" w:cstheme="majorBidi"/>
                <w:sz w:val="18"/>
                <w:szCs w:val="18"/>
                <w:lang w:val="fr-CA"/>
              </w:rPr>
              <w:t>dispensée au personnel existant et à tous les nouveaux employés, étudiants ou bénévoles.</w:t>
            </w:r>
          </w:p>
        </w:tc>
      </w:tr>
      <w:tr w:rsidR="00705FFC" w14:paraId="6948541B" w14:textId="77777777" w:rsidTr="00414DD7">
        <w:tc>
          <w:tcPr>
            <w:tcW w:w="2956" w:type="dxa"/>
          </w:tcPr>
          <w:p w14:paraId="5F46B786" w14:textId="5D511BA5" w:rsidR="002749D8" w:rsidRPr="002749D8" w:rsidRDefault="002749D8" w:rsidP="00511ECD">
            <w:pPr>
              <w:rPr>
                <w:rFonts w:asciiTheme="majorHAnsi" w:eastAsiaTheme="majorEastAsia" w:hAnsiTheme="majorHAnsi" w:cstheme="majorBidi"/>
                <w:sz w:val="18"/>
                <w:szCs w:val="18"/>
                <w:lang w:val="fr-CA"/>
              </w:rPr>
            </w:pPr>
            <w:r w:rsidRPr="002749D8">
              <w:rPr>
                <w:rFonts w:asciiTheme="majorHAnsi" w:eastAsiaTheme="majorEastAsia" w:hAnsiTheme="majorHAnsi" w:cstheme="majorBidi"/>
                <w:sz w:val="18"/>
                <w:szCs w:val="18"/>
                <w:lang w:val="fr-CA"/>
              </w:rPr>
              <w:t>Formats accessibles pour l’information et les communications.</w:t>
            </w:r>
          </w:p>
        </w:tc>
        <w:tc>
          <w:tcPr>
            <w:tcW w:w="3778" w:type="dxa"/>
          </w:tcPr>
          <w:p w14:paraId="69619E94" w14:textId="3A11A7A1" w:rsidR="00AE139E" w:rsidRPr="00AE139E" w:rsidRDefault="00AE139E" w:rsidP="0084031E">
            <w:pPr>
              <w:rPr>
                <w:rFonts w:asciiTheme="majorHAnsi" w:eastAsiaTheme="majorEastAsia" w:hAnsiTheme="majorHAnsi" w:cstheme="majorBidi"/>
                <w:sz w:val="18"/>
                <w:szCs w:val="18"/>
                <w:lang w:val="fr-CA"/>
              </w:rPr>
            </w:pPr>
            <w:r w:rsidRPr="00AE139E">
              <w:rPr>
                <w:rFonts w:asciiTheme="majorHAnsi" w:eastAsiaTheme="majorEastAsia" w:hAnsiTheme="majorHAnsi" w:cstheme="majorBidi"/>
                <w:sz w:val="18"/>
                <w:szCs w:val="18"/>
                <w:lang w:val="fr-CA"/>
              </w:rPr>
              <w:t>Étudier et mettre à disposition des formats a</w:t>
            </w:r>
            <w:r w:rsidR="00D34D31">
              <w:rPr>
                <w:rFonts w:asciiTheme="majorHAnsi" w:eastAsiaTheme="majorEastAsia" w:hAnsiTheme="majorHAnsi" w:cstheme="majorBidi"/>
                <w:sz w:val="18"/>
                <w:szCs w:val="18"/>
                <w:lang w:val="fr-CA"/>
              </w:rPr>
              <w:t>ccessibles</w:t>
            </w:r>
            <w:r w:rsidRPr="00AE139E">
              <w:rPr>
                <w:rFonts w:asciiTheme="majorHAnsi" w:eastAsiaTheme="majorEastAsia" w:hAnsiTheme="majorHAnsi" w:cstheme="majorBidi"/>
                <w:sz w:val="18"/>
                <w:szCs w:val="18"/>
                <w:lang w:val="fr-CA"/>
              </w:rPr>
              <w:t xml:space="preserve"> pour les documents, brochures, formulaires cliniques et autres qui peuvent être</w:t>
            </w:r>
            <w:r w:rsidR="0084031E">
              <w:rPr>
                <w:rFonts w:asciiTheme="majorHAnsi" w:eastAsiaTheme="majorEastAsia" w:hAnsiTheme="majorHAnsi" w:cstheme="majorBidi"/>
                <w:sz w:val="18"/>
                <w:szCs w:val="18"/>
                <w:lang w:val="fr-CA"/>
              </w:rPr>
              <w:t xml:space="preserve"> </w:t>
            </w:r>
            <w:r w:rsidRPr="00AE139E">
              <w:rPr>
                <w:rFonts w:asciiTheme="majorHAnsi" w:eastAsiaTheme="majorEastAsia" w:hAnsiTheme="majorHAnsi" w:cstheme="majorBidi"/>
                <w:sz w:val="18"/>
                <w:szCs w:val="18"/>
                <w:lang w:val="fr-CA"/>
              </w:rPr>
              <w:t>utilisés dans notre travail avec les clients et le grand public. Veiller à ce que le personnel soit conscient de l</w:t>
            </w:r>
            <w:r w:rsidR="00941B14">
              <w:rPr>
                <w:rFonts w:asciiTheme="majorHAnsi" w:eastAsiaTheme="majorEastAsia" w:hAnsiTheme="majorHAnsi" w:cstheme="majorBidi"/>
                <w:sz w:val="18"/>
                <w:szCs w:val="18"/>
                <w:lang w:val="fr-CA"/>
              </w:rPr>
              <w:t>’</w:t>
            </w:r>
            <w:r w:rsidRPr="00AE139E">
              <w:rPr>
                <w:rFonts w:asciiTheme="majorHAnsi" w:eastAsiaTheme="majorEastAsia" w:hAnsiTheme="majorHAnsi" w:cstheme="majorBidi"/>
                <w:sz w:val="18"/>
                <w:szCs w:val="18"/>
                <w:lang w:val="fr-CA"/>
              </w:rPr>
              <w:t>obligation de fournir des documents dans des formats a</w:t>
            </w:r>
            <w:r w:rsidR="00D34D31">
              <w:rPr>
                <w:rFonts w:asciiTheme="majorHAnsi" w:eastAsiaTheme="majorEastAsia" w:hAnsiTheme="majorHAnsi" w:cstheme="majorBidi"/>
                <w:sz w:val="18"/>
                <w:szCs w:val="18"/>
                <w:lang w:val="fr-CA"/>
              </w:rPr>
              <w:t>ccessibles</w:t>
            </w:r>
            <w:r w:rsidR="00804C5C">
              <w:rPr>
                <w:rFonts w:asciiTheme="majorHAnsi" w:eastAsiaTheme="majorEastAsia" w:hAnsiTheme="majorHAnsi" w:cstheme="majorBidi"/>
                <w:sz w:val="18"/>
                <w:szCs w:val="18"/>
                <w:lang w:val="fr-CA"/>
              </w:rPr>
              <w:t xml:space="preserve"> </w:t>
            </w:r>
            <w:r w:rsidR="00A67FA0">
              <w:rPr>
                <w:rFonts w:asciiTheme="majorHAnsi" w:eastAsiaTheme="majorEastAsia" w:hAnsiTheme="majorHAnsi" w:cstheme="majorBidi"/>
                <w:sz w:val="18"/>
                <w:szCs w:val="18"/>
                <w:lang w:val="fr-CA"/>
              </w:rPr>
              <w:t xml:space="preserve">— </w:t>
            </w:r>
            <w:r w:rsidRPr="00AE139E">
              <w:rPr>
                <w:rFonts w:asciiTheme="majorHAnsi" w:eastAsiaTheme="majorEastAsia" w:hAnsiTheme="majorHAnsi" w:cstheme="majorBidi"/>
                <w:sz w:val="18"/>
                <w:szCs w:val="18"/>
                <w:lang w:val="fr-CA"/>
              </w:rPr>
              <w:t>déterminer la fréquence à laquelle il doit suivre une nouvelle formation</w:t>
            </w:r>
          </w:p>
        </w:tc>
        <w:tc>
          <w:tcPr>
            <w:tcW w:w="1687" w:type="dxa"/>
          </w:tcPr>
          <w:p w14:paraId="610D70D3" w14:textId="53211691" w:rsidR="00705FFC" w:rsidRPr="00476390" w:rsidRDefault="00476390" w:rsidP="00511ECD">
            <w:pPr>
              <w:rPr>
                <w:rFonts w:asciiTheme="majorHAnsi" w:eastAsiaTheme="majorEastAsia" w:hAnsiTheme="majorHAnsi" w:cstheme="majorBidi"/>
                <w:sz w:val="18"/>
                <w:szCs w:val="18"/>
                <w:lang w:val="fr-CA"/>
              </w:rPr>
            </w:pPr>
            <w:r w:rsidRPr="00476390">
              <w:rPr>
                <w:sz w:val="18"/>
                <w:szCs w:val="18"/>
                <w:lang w:val="fr-CA"/>
              </w:rPr>
              <w:t>Personnes, culture et appartenance</w:t>
            </w:r>
            <w:r w:rsidR="00705FFC" w:rsidRPr="00476390">
              <w:rPr>
                <w:rFonts w:asciiTheme="majorHAnsi" w:eastAsiaTheme="majorEastAsia" w:hAnsiTheme="majorHAnsi" w:cstheme="majorBidi"/>
                <w:sz w:val="18"/>
                <w:szCs w:val="18"/>
                <w:lang w:val="fr-CA"/>
              </w:rPr>
              <w:t>/Program</w:t>
            </w:r>
            <w:r w:rsidRPr="00476390">
              <w:rPr>
                <w:rFonts w:asciiTheme="majorHAnsi" w:eastAsiaTheme="majorEastAsia" w:hAnsiTheme="majorHAnsi" w:cstheme="majorBidi"/>
                <w:sz w:val="18"/>
                <w:szCs w:val="18"/>
                <w:lang w:val="fr-CA"/>
              </w:rPr>
              <w:t>me</w:t>
            </w:r>
            <w:r w:rsidR="00705FFC" w:rsidRPr="00476390">
              <w:rPr>
                <w:rFonts w:asciiTheme="majorHAnsi" w:eastAsiaTheme="majorEastAsia" w:hAnsiTheme="majorHAnsi" w:cstheme="majorBidi"/>
                <w:sz w:val="18"/>
                <w:szCs w:val="18"/>
                <w:lang w:val="fr-CA"/>
              </w:rPr>
              <w:t>s</w:t>
            </w:r>
          </w:p>
        </w:tc>
        <w:tc>
          <w:tcPr>
            <w:tcW w:w="1080" w:type="dxa"/>
          </w:tcPr>
          <w:p w14:paraId="5BAE3F6B" w14:textId="30722628" w:rsidR="00705FFC" w:rsidRPr="00FC5743" w:rsidRDefault="00476390"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w:t>
            </w:r>
            <w:r w:rsidR="00705FFC" w:rsidRPr="00FC5743">
              <w:rPr>
                <w:rFonts w:asciiTheme="majorHAnsi" w:eastAsiaTheme="majorEastAsia" w:hAnsiTheme="majorHAnsi" w:cstheme="majorBidi"/>
                <w:sz w:val="18"/>
                <w:szCs w:val="18"/>
              </w:rPr>
              <w:t>2016</w:t>
            </w:r>
          </w:p>
          <w:p w14:paraId="46C3D3DF" w14:textId="77777777" w:rsidR="00705FFC" w:rsidRPr="00FC5743" w:rsidRDefault="00705FFC" w:rsidP="00511ECD">
            <w:pPr>
              <w:rPr>
                <w:rFonts w:asciiTheme="majorHAnsi" w:eastAsiaTheme="majorEastAsia" w:hAnsiTheme="majorHAnsi" w:cstheme="majorBidi"/>
                <w:sz w:val="18"/>
                <w:szCs w:val="18"/>
              </w:rPr>
            </w:pPr>
          </w:p>
        </w:tc>
        <w:tc>
          <w:tcPr>
            <w:tcW w:w="1126" w:type="dxa"/>
          </w:tcPr>
          <w:p w14:paraId="61A3F058" w14:textId="3A1E82DA" w:rsidR="00705FFC"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705FFC" w14:paraId="60D753AC" w14:textId="77777777" w:rsidTr="00414DD7">
        <w:tc>
          <w:tcPr>
            <w:tcW w:w="2956" w:type="dxa"/>
          </w:tcPr>
          <w:p w14:paraId="16CF7E7B" w14:textId="70F1A964" w:rsidR="00AE139E" w:rsidRPr="00AE139E" w:rsidRDefault="00AE139E" w:rsidP="00511ECD">
            <w:pPr>
              <w:rPr>
                <w:rFonts w:asciiTheme="majorHAnsi" w:eastAsiaTheme="majorEastAsia" w:hAnsiTheme="majorHAnsi" w:cstheme="majorBidi"/>
                <w:sz w:val="18"/>
                <w:szCs w:val="18"/>
                <w:lang w:val="fr-CA"/>
              </w:rPr>
            </w:pPr>
            <w:r w:rsidRPr="00AE139E">
              <w:rPr>
                <w:rFonts w:asciiTheme="majorHAnsi" w:eastAsiaTheme="majorEastAsia" w:hAnsiTheme="majorHAnsi" w:cstheme="majorBidi"/>
                <w:sz w:val="18"/>
                <w:szCs w:val="18"/>
                <w:lang w:val="fr-CA"/>
              </w:rPr>
              <w:t>Sites et contenus Web accessibles</w:t>
            </w:r>
          </w:p>
        </w:tc>
        <w:tc>
          <w:tcPr>
            <w:tcW w:w="3778" w:type="dxa"/>
          </w:tcPr>
          <w:p w14:paraId="3133F306" w14:textId="3816BEA3" w:rsidR="008B0C77" w:rsidRPr="00804C5C" w:rsidRDefault="00804C5C" w:rsidP="00511ECD">
            <w:pPr>
              <w:rPr>
                <w:rFonts w:asciiTheme="majorHAnsi" w:eastAsiaTheme="majorEastAsia" w:hAnsiTheme="majorHAnsi" w:cstheme="majorBidi"/>
                <w:sz w:val="18"/>
                <w:szCs w:val="18"/>
                <w:lang w:val="fr-CA"/>
              </w:rPr>
            </w:pPr>
            <w:r>
              <w:rPr>
                <w:rFonts w:asciiTheme="majorHAnsi" w:eastAsiaTheme="majorEastAsia" w:hAnsiTheme="majorHAnsi" w:cstheme="majorBidi"/>
                <w:sz w:val="18"/>
                <w:szCs w:val="18"/>
                <w:lang w:val="fr-CA"/>
              </w:rPr>
              <w:t>S’assurer</w:t>
            </w:r>
            <w:r w:rsidR="008B0C77" w:rsidRPr="008B0C77">
              <w:rPr>
                <w:rFonts w:asciiTheme="majorHAnsi" w:eastAsiaTheme="majorEastAsia" w:hAnsiTheme="majorHAnsi" w:cstheme="majorBidi"/>
                <w:sz w:val="18"/>
                <w:szCs w:val="18"/>
                <w:lang w:val="fr-CA"/>
              </w:rPr>
              <w:t xml:space="preserve"> que toutes les nouvelles pages/contenus sur les sites Web </w:t>
            </w:r>
            <w:r>
              <w:rPr>
                <w:rFonts w:asciiTheme="majorHAnsi" w:eastAsiaTheme="majorEastAsia" w:hAnsiTheme="majorHAnsi" w:cstheme="majorBidi"/>
                <w:sz w:val="18"/>
                <w:szCs w:val="18"/>
                <w:lang w:val="fr-CA"/>
              </w:rPr>
              <w:t xml:space="preserve">du BSJ </w:t>
            </w:r>
            <w:r w:rsidR="008B0C77" w:rsidRPr="008B0C77">
              <w:rPr>
                <w:rFonts w:asciiTheme="majorHAnsi" w:eastAsiaTheme="majorEastAsia" w:hAnsiTheme="majorHAnsi" w:cstheme="majorBidi"/>
                <w:sz w:val="18"/>
                <w:szCs w:val="18"/>
                <w:lang w:val="fr-CA"/>
              </w:rPr>
              <w:t xml:space="preserve">ou de la Fondation </w:t>
            </w:r>
            <w:r>
              <w:rPr>
                <w:rFonts w:asciiTheme="majorHAnsi" w:eastAsiaTheme="majorEastAsia" w:hAnsiTheme="majorHAnsi" w:cstheme="majorBidi"/>
                <w:sz w:val="18"/>
                <w:szCs w:val="18"/>
                <w:lang w:val="fr-CA"/>
              </w:rPr>
              <w:t>du BSJ</w:t>
            </w:r>
            <w:r w:rsidR="008B0C77" w:rsidRPr="008B0C77">
              <w:rPr>
                <w:rFonts w:asciiTheme="majorHAnsi" w:eastAsiaTheme="majorEastAsia" w:hAnsiTheme="majorHAnsi" w:cstheme="majorBidi"/>
                <w:sz w:val="18"/>
                <w:szCs w:val="18"/>
                <w:lang w:val="fr-CA"/>
              </w:rPr>
              <w:t xml:space="preserve"> sont conformes aux exigences. </w:t>
            </w:r>
            <w:r w:rsidR="008B0C77" w:rsidRPr="00804C5C">
              <w:rPr>
                <w:rFonts w:asciiTheme="majorHAnsi" w:eastAsiaTheme="majorEastAsia" w:hAnsiTheme="majorHAnsi" w:cstheme="majorBidi"/>
                <w:sz w:val="18"/>
                <w:szCs w:val="18"/>
                <w:lang w:val="fr-CA"/>
              </w:rPr>
              <w:t xml:space="preserve">Déterminez les exigences pour YSPACE </w:t>
            </w:r>
            <w:r w:rsidR="00A67FA0">
              <w:rPr>
                <w:rFonts w:asciiTheme="majorHAnsi" w:eastAsiaTheme="majorEastAsia" w:hAnsiTheme="majorHAnsi" w:cstheme="majorBidi"/>
                <w:sz w:val="18"/>
                <w:szCs w:val="18"/>
                <w:lang w:val="fr-CA"/>
              </w:rPr>
              <w:t>—</w:t>
            </w:r>
            <w:r w:rsidR="008B0C77" w:rsidRPr="00804C5C">
              <w:rPr>
                <w:rFonts w:asciiTheme="majorHAnsi" w:eastAsiaTheme="majorEastAsia" w:hAnsiTheme="majorHAnsi" w:cstheme="majorBidi"/>
                <w:sz w:val="18"/>
                <w:szCs w:val="18"/>
                <w:lang w:val="fr-CA"/>
              </w:rPr>
              <w:t xml:space="preserve"> Intranet</w:t>
            </w:r>
          </w:p>
        </w:tc>
        <w:tc>
          <w:tcPr>
            <w:tcW w:w="1687" w:type="dxa"/>
          </w:tcPr>
          <w:p w14:paraId="30FF0BD1" w14:textId="0FD36496" w:rsidR="00705FFC" w:rsidRPr="00FC5743" w:rsidRDefault="00705FFC"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Communications/</w:t>
            </w:r>
            <w:r w:rsidR="00476390">
              <w:rPr>
                <w:rFonts w:asciiTheme="majorHAnsi" w:eastAsiaTheme="majorEastAsia" w:hAnsiTheme="majorHAnsi" w:cstheme="majorBidi"/>
                <w:sz w:val="18"/>
                <w:szCs w:val="18"/>
              </w:rPr>
              <w:t>TI</w:t>
            </w:r>
          </w:p>
        </w:tc>
        <w:tc>
          <w:tcPr>
            <w:tcW w:w="1080" w:type="dxa"/>
          </w:tcPr>
          <w:p w14:paraId="43751436" w14:textId="3B1B2ECB" w:rsidR="00705FFC" w:rsidRPr="00FC5743" w:rsidRDefault="00476390"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w:t>
            </w:r>
            <w:r w:rsidR="00705FFC" w:rsidRPr="00FC5743">
              <w:rPr>
                <w:rFonts w:asciiTheme="majorHAnsi" w:eastAsiaTheme="majorEastAsia" w:hAnsiTheme="majorHAnsi" w:cstheme="majorBidi"/>
                <w:sz w:val="18"/>
                <w:szCs w:val="18"/>
              </w:rPr>
              <w:t>201</w:t>
            </w:r>
            <w:r w:rsidR="00414DD7" w:rsidRPr="00FC5743">
              <w:rPr>
                <w:rFonts w:asciiTheme="majorHAnsi" w:eastAsiaTheme="majorEastAsia" w:hAnsiTheme="majorHAnsi" w:cstheme="majorBidi"/>
                <w:sz w:val="18"/>
                <w:szCs w:val="18"/>
              </w:rPr>
              <w:t>4</w:t>
            </w:r>
          </w:p>
        </w:tc>
        <w:tc>
          <w:tcPr>
            <w:tcW w:w="1126" w:type="dxa"/>
          </w:tcPr>
          <w:p w14:paraId="7D9539CC" w14:textId="627D0B5A" w:rsidR="00705FFC"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705FFC" w14:paraId="13B52B49" w14:textId="77777777" w:rsidTr="00414DD7">
        <w:tc>
          <w:tcPr>
            <w:tcW w:w="2956" w:type="dxa"/>
          </w:tcPr>
          <w:p w14:paraId="3FB1E465" w14:textId="11DD46CC" w:rsidR="00AE139E" w:rsidRPr="00AE139E" w:rsidRDefault="00AE139E" w:rsidP="00511ECD">
            <w:pPr>
              <w:rPr>
                <w:rFonts w:asciiTheme="majorHAnsi" w:eastAsiaTheme="majorEastAsia" w:hAnsiTheme="majorHAnsi" w:cstheme="majorBidi"/>
                <w:sz w:val="18"/>
                <w:szCs w:val="18"/>
                <w:lang w:val="fr-CA"/>
              </w:rPr>
            </w:pPr>
            <w:r w:rsidRPr="00AE139E">
              <w:rPr>
                <w:rFonts w:asciiTheme="majorHAnsi" w:eastAsiaTheme="majorEastAsia" w:hAnsiTheme="majorHAnsi" w:cstheme="majorBidi"/>
                <w:sz w:val="18"/>
                <w:szCs w:val="18"/>
                <w:lang w:val="fr-CA"/>
              </w:rPr>
              <w:t>Tous les sites</w:t>
            </w:r>
            <w:r w:rsidR="00804C5C">
              <w:rPr>
                <w:rFonts w:asciiTheme="majorHAnsi" w:eastAsiaTheme="majorEastAsia" w:hAnsiTheme="majorHAnsi" w:cstheme="majorBidi"/>
                <w:sz w:val="18"/>
                <w:szCs w:val="18"/>
                <w:lang w:val="fr-CA"/>
              </w:rPr>
              <w:t xml:space="preserve"> </w:t>
            </w:r>
            <w:r w:rsidRPr="00AE139E">
              <w:rPr>
                <w:rFonts w:asciiTheme="majorHAnsi" w:eastAsiaTheme="majorEastAsia" w:hAnsiTheme="majorHAnsi" w:cstheme="majorBidi"/>
                <w:sz w:val="18"/>
                <w:szCs w:val="18"/>
                <w:lang w:val="fr-CA"/>
              </w:rPr>
              <w:t>et contenus Web</w:t>
            </w:r>
          </w:p>
        </w:tc>
        <w:tc>
          <w:tcPr>
            <w:tcW w:w="3778" w:type="dxa"/>
          </w:tcPr>
          <w:p w14:paraId="2693DAA6" w14:textId="17CBD22C" w:rsidR="008B0C77" w:rsidRPr="008B0C77" w:rsidRDefault="008B0C77" w:rsidP="00511ECD">
            <w:pPr>
              <w:rPr>
                <w:rFonts w:asciiTheme="majorHAnsi" w:eastAsiaTheme="majorEastAsia" w:hAnsiTheme="majorHAnsi" w:cstheme="majorBidi"/>
                <w:sz w:val="18"/>
                <w:szCs w:val="18"/>
                <w:lang w:val="fr-CA"/>
              </w:rPr>
            </w:pPr>
            <w:r w:rsidRPr="008B0C77">
              <w:rPr>
                <w:rFonts w:asciiTheme="majorHAnsi" w:eastAsiaTheme="majorEastAsia" w:hAnsiTheme="majorHAnsi" w:cstheme="majorBidi"/>
                <w:sz w:val="18"/>
                <w:szCs w:val="18"/>
                <w:lang w:val="fr-CA"/>
              </w:rPr>
              <w:t xml:space="preserve">Communications pour garantir que tout le contenu du site Web </w:t>
            </w:r>
            <w:r w:rsidR="00804C5C">
              <w:rPr>
                <w:rFonts w:asciiTheme="majorHAnsi" w:eastAsiaTheme="majorEastAsia" w:hAnsiTheme="majorHAnsi" w:cstheme="majorBidi"/>
                <w:sz w:val="18"/>
                <w:szCs w:val="18"/>
                <w:lang w:val="fr-CA"/>
              </w:rPr>
              <w:t>du BSJ</w:t>
            </w:r>
            <w:r w:rsidRPr="008B0C77">
              <w:rPr>
                <w:rFonts w:asciiTheme="majorHAnsi" w:eastAsiaTheme="majorEastAsia" w:hAnsiTheme="majorHAnsi" w:cstheme="majorBidi"/>
                <w:sz w:val="18"/>
                <w:szCs w:val="18"/>
                <w:lang w:val="fr-CA"/>
              </w:rPr>
              <w:t xml:space="preserve"> et de la fondation </w:t>
            </w:r>
            <w:r w:rsidR="00804C5C">
              <w:rPr>
                <w:rFonts w:asciiTheme="majorHAnsi" w:eastAsiaTheme="majorEastAsia" w:hAnsiTheme="majorHAnsi" w:cstheme="majorBidi"/>
                <w:sz w:val="18"/>
                <w:szCs w:val="18"/>
                <w:lang w:val="fr-CA"/>
              </w:rPr>
              <w:t>du BSJ</w:t>
            </w:r>
            <w:r w:rsidRPr="008B0C77">
              <w:rPr>
                <w:rFonts w:asciiTheme="majorHAnsi" w:eastAsiaTheme="majorEastAsia" w:hAnsiTheme="majorHAnsi" w:cstheme="majorBidi"/>
                <w:sz w:val="18"/>
                <w:szCs w:val="18"/>
                <w:lang w:val="fr-CA"/>
              </w:rPr>
              <w:t xml:space="preserve"> réponde initialement au niveau A et passe au niveau AA des </w:t>
            </w:r>
            <w:r w:rsidR="00AB698F" w:rsidRPr="00AB698F">
              <w:rPr>
                <w:rFonts w:asciiTheme="majorHAnsi" w:eastAsiaTheme="majorEastAsia" w:hAnsiTheme="majorHAnsi" w:cstheme="majorBidi"/>
                <w:sz w:val="18"/>
                <w:szCs w:val="18"/>
                <w:lang w:val="fr-CA"/>
              </w:rPr>
              <w:t>Règles pour l</w:t>
            </w:r>
            <w:r w:rsidR="00A67FA0">
              <w:rPr>
                <w:rFonts w:asciiTheme="majorHAnsi" w:eastAsiaTheme="majorEastAsia" w:hAnsiTheme="majorHAnsi" w:cstheme="majorBidi"/>
                <w:sz w:val="18"/>
                <w:szCs w:val="18"/>
                <w:lang w:val="fr-CA"/>
              </w:rPr>
              <w:t>’</w:t>
            </w:r>
            <w:r w:rsidR="00AB698F" w:rsidRPr="00AB698F">
              <w:rPr>
                <w:rFonts w:asciiTheme="majorHAnsi" w:eastAsiaTheme="majorEastAsia" w:hAnsiTheme="majorHAnsi" w:cstheme="majorBidi"/>
                <w:sz w:val="18"/>
                <w:szCs w:val="18"/>
                <w:lang w:val="fr-CA"/>
              </w:rPr>
              <w:t xml:space="preserve">accessibilité des contenus Web </w:t>
            </w:r>
            <w:r w:rsidR="00AB698F">
              <w:rPr>
                <w:rFonts w:asciiTheme="majorHAnsi" w:eastAsiaTheme="majorEastAsia" w:hAnsiTheme="majorHAnsi" w:cstheme="majorBidi"/>
                <w:sz w:val="18"/>
                <w:szCs w:val="18"/>
                <w:lang w:val="fr-CA"/>
              </w:rPr>
              <w:t>(</w:t>
            </w:r>
            <w:r w:rsidRPr="008B0C77">
              <w:rPr>
                <w:rFonts w:asciiTheme="majorHAnsi" w:eastAsiaTheme="majorEastAsia" w:hAnsiTheme="majorHAnsi" w:cstheme="majorBidi"/>
                <w:sz w:val="18"/>
                <w:szCs w:val="18"/>
                <w:lang w:val="fr-CA"/>
              </w:rPr>
              <w:t>WCAG</w:t>
            </w:r>
            <w:r w:rsidR="00AB698F">
              <w:rPr>
                <w:rFonts w:asciiTheme="majorHAnsi" w:eastAsiaTheme="majorEastAsia" w:hAnsiTheme="majorHAnsi" w:cstheme="majorBidi"/>
                <w:sz w:val="18"/>
                <w:szCs w:val="18"/>
                <w:lang w:val="fr-CA"/>
              </w:rPr>
              <w:t xml:space="preserve">) </w:t>
            </w:r>
            <w:r w:rsidRPr="008B0C77">
              <w:rPr>
                <w:rFonts w:asciiTheme="majorHAnsi" w:eastAsiaTheme="majorEastAsia" w:hAnsiTheme="majorHAnsi" w:cstheme="majorBidi"/>
                <w:sz w:val="18"/>
                <w:szCs w:val="18"/>
                <w:lang w:val="fr-CA"/>
              </w:rPr>
              <w:t>2.0</w:t>
            </w:r>
            <w:r w:rsidR="00AB698F">
              <w:rPr>
                <w:rFonts w:asciiTheme="majorHAnsi" w:eastAsiaTheme="majorEastAsia" w:hAnsiTheme="majorHAnsi" w:cstheme="majorBidi"/>
                <w:sz w:val="18"/>
                <w:szCs w:val="18"/>
                <w:lang w:val="fr-CA"/>
              </w:rPr>
              <w:t>.</w:t>
            </w:r>
          </w:p>
        </w:tc>
        <w:tc>
          <w:tcPr>
            <w:tcW w:w="1687" w:type="dxa"/>
          </w:tcPr>
          <w:p w14:paraId="1137D19F" w14:textId="3E17ED41" w:rsidR="00705FFC" w:rsidRPr="00FC5743" w:rsidRDefault="00414DD7"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Communications/</w:t>
            </w:r>
            <w:r w:rsidR="00476390">
              <w:rPr>
                <w:rFonts w:asciiTheme="majorHAnsi" w:eastAsiaTheme="majorEastAsia" w:hAnsiTheme="majorHAnsi" w:cstheme="majorBidi"/>
                <w:sz w:val="18"/>
                <w:szCs w:val="18"/>
              </w:rPr>
              <w:t>TI</w:t>
            </w:r>
          </w:p>
        </w:tc>
        <w:tc>
          <w:tcPr>
            <w:tcW w:w="1080" w:type="dxa"/>
          </w:tcPr>
          <w:p w14:paraId="257186E6" w14:textId="27732274" w:rsidR="00705FFC" w:rsidRPr="00FC5743" w:rsidRDefault="00705FFC"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w:t>
            </w:r>
            <w:r w:rsidR="00414DD7" w:rsidRPr="00FC5743">
              <w:rPr>
                <w:rFonts w:asciiTheme="majorHAnsi" w:eastAsiaTheme="majorEastAsia" w:hAnsiTheme="majorHAnsi" w:cstheme="majorBidi"/>
                <w:sz w:val="18"/>
                <w:szCs w:val="18"/>
              </w:rPr>
              <w:t>21</w:t>
            </w:r>
          </w:p>
          <w:p w14:paraId="0F50D9A2" w14:textId="77777777" w:rsidR="00705FFC" w:rsidRPr="00FC5743" w:rsidRDefault="00705FFC" w:rsidP="00511ECD">
            <w:pPr>
              <w:rPr>
                <w:rFonts w:asciiTheme="majorHAnsi" w:eastAsiaTheme="majorEastAsia" w:hAnsiTheme="majorHAnsi" w:cstheme="majorBidi"/>
                <w:sz w:val="18"/>
                <w:szCs w:val="18"/>
              </w:rPr>
            </w:pPr>
          </w:p>
        </w:tc>
        <w:tc>
          <w:tcPr>
            <w:tcW w:w="1126" w:type="dxa"/>
          </w:tcPr>
          <w:p w14:paraId="2BB9D88C" w14:textId="3B9742D5" w:rsidR="00705FFC"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bl>
    <w:p w14:paraId="284A3A61" w14:textId="77777777" w:rsidR="00414DD7" w:rsidRDefault="00414DD7" w:rsidP="00511ECD"/>
    <w:p w14:paraId="42AE712E" w14:textId="77777777" w:rsidR="00414DD7" w:rsidRDefault="00414DD7" w:rsidP="00511ECD">
      <w:r>
        <w:br w:type="page"/>
      </w:r>
    </w:p>
    <w:p w14:paraId="3938D8AA" w14:textId="597D29BE" w:rsidR="00414DD7" w:rsidRPr="00087417" w:rsidRDefault="00087417" w:rsidP="00511ECD">
      <w:pPr>
        <w:pStyle w:val="Titre2"/>
        <w:rPr>
          <w:b/>
          <w:color w:val="auto"/>
          <w:lang w:val="fr-CA"/>
        </w:rPr>
      </w:pPr>
      <w:bookmarkStart w:id="7" w:name="_Toc185527856"/>
      <w:r w:rsidRPr="00087417">
        <w:rPr>
          <w:b/>
          <w:color w:val="auto"/>
          <w:lang w:val="fr-CA"/>
        </w:rPr>
        <w:lastRenderedPageBreak/>
        <w:t>Partie</w:t>
      </w:r>
      <w:r w:rsidR="00A67FA0">
        <w:rPr>
          <w:b/>
          <w:color w:val="auto"/>
          <w:lang w:val="fr-CA"/>
        </w:rPr>
        <w:t> </w:t>
      </w:r>
      <w:r w:rsidRPr="00087417">
        <w:rPr>
          <w:b/>
          <w:color w:val="auto"/>
          <w:lang w:val="fr-CA"/>
        </w:rPr>
        <w:t xml:space="preserve">3 </w:t>
      </w:r>
      <w:r w:rsidR="00A67FA0">
        <w:rPr>
          <w:b/>
          <w:color w:val="auto"/>
          <w:lang w:val="fr-CA"/>
        </w:rPr>
        <w:t>—</w:t>
      </w:r>
      <w:r w:rsidRPr="00087417">
        <w:rPr>
          <w:b/>
          <w:color w:val="auto"/>
          <w:lang w:val="fr-CA"/>
        </w:rPr>
        <w:t xml:space="preserve"> Norme d’emploi</w:t>
      </w:r>
      <w:bookmarkEnd w:id="7"/>
    </w:p>
    <w:tbl>
      <w:tblPr>
        <w:tblStyle w:val="Grilledutableau"/>
        <w:tblW w:w="10684" w:type="dxa"/>
        <w:tblLook w:val="04A0" w:firstRow="1" w:lastRow="0" w:firstColumn="1" w:lastColumn="0" w:noHBand="0" w:noVBand="1"/>
      </w:tblPr>
      <w:tblGrid>
        <w:gridCol w:w="2206"/>
        <w:gridCol w:w="3803"/>
        <w:gridCol w:w="2732"/>
        <w:gridCol w:w="957"/>
        <w:gridCol w:w="986"/>
      </w:tblGrid>
      <w:tr w:rsidR="00E11B55" w14:paraId="273793CA" w14:textId="77777777" w:rsidTr="00E11B55">
        <w:tc>
          <w:tcPr>
            <w:tcW w:w="2300" w:type="dxa"/>
            <w:shd w:val="clear" w:color="auto" w:fill="FBE4D5" w:themeFill="accent2" w:themeFillTint="33"/>
          </w:tcPr>
          <w:p w14:paraId="54DCBB43" w14:textId="17A354DC" w:rsidR="00E11B55" w:rsidRPr="00032EDA" w:rsidRDefault="00E11B55" w:rsidP="00E11B55">
            <w:pPr>
              <w:rPr>
                <w:sz w:val="18"/>
                <w:szCs w:val="18"/>
              </w:rPr>
            </w:pPr>
            <w:r w:rsidRPr="00320A86">
              <w:rPr>
                <w:sz w:val="18"/>
                <w:szCs w:val="18"/>
                <w:lang w:val="fr-CA"/>
              </w:rPr>
              <w:t>Exigences en matière d</w:t>
            </w:r>
            <w:r>
              <w:rPr>
                <w:sz w:val="18"/>
                <w:szCs w:val="18"/>
                <w:lang w:val="fr-CA"/>
              </w:rPr>
              <w:t>’</w:t>
            </w:r>
            <w:r w:rsidRPr="00320A86">
              <w:rPr>
                <w:sz w:val="18"/>
                <w:szCs w:val="18"/>
                <w:lang w:val="fr-CA"/>
              </w:rPr>
              <w:t>accessibilité</w:t>
            </w:r>
          </w:p>
        </w:tc>
        <w:tc>
          <w:tcPr>
            <w:tcW w:w="4013" w:type="dxa"/>
            <w:shd w:val="clear" w:color="auto" w:fill="FBE4D5" w:themeFill="accent2" w:themeFillTint="33"/>
          </w:tcPr>
          <w:p w14:paraId="3308DA73" w14:textId="116D5835" w:rsidR="00E11B55" w:rsidRPr="00032EDA" w:rsidRDefault="00E11B55" w:rsidP="00E11B55">
            <w:pPr>
              <w:rPr>
                <w:sz w:val="18"/>
                <w:szCs w:val="18"/>
              </w:rPr>
            </w:pPr>
            <w:proofErr w:type="spellStart"/>
            <w:r>
              <w:rPr>
                <w:sz w:val="18"/>
                <w:szCs w:val="18"/>
              </w:rPr>
              <w:t>Commentaires</w:t>
            </w:r>
            <w:proofErr w:type="spellEnd"/>
            <w:r>
              <w:rPr>
                <w:sz w:val="18"/>
                <w:szCs w:val="18"/>
              </w:rPr>
              <w:t>/</w:t>
            </w:r>
            <w:proofErr w:type="spellStart"/>
            <w:r>
              <w:rPr>
                <w:sz w:val="18"/>
                <w:szCs w:val="18"/>
              </w:rPr>
              <w:t>Stratégie</w:t>
            </w:r>
            <w:proofErr w:type="spellEnd"/>
          </w:p>
        </w:tc>
        <w:tc>
          <w:tcPr>
            <w:tcW w:w="2382" w:type="dxa"/>
            <w:shd w:val="clear" w:color="auto" w:fill="FBE4D5" w:themeFill="accent2" w:themeFillTint="33"/>
          </w:tcPr>
          <w:p w14:paraId="75B130D6" w14:textId="110C580B" w:rsidR="00E11B55" w:rsidRPr="00032EDA" w:rsidRDefault="00E11B55" w:rsidP="00E11B55">
            <w:pPr>
              <w:rPr>
                <w:sz w:val="18"/>
                <w:szCs w:val="18"/>
              </w:rPr>
            </w:pPr>
            <w:proofErr w:type="spellStart"/>
            <w:r>
              <w:rPr>
                <w:sz w:val="18"/>
                <w:szCs w:val="18"/>
              </w:rPr>
              <w:t>Responsable</w:t>
            </w:r>
            <w:proofErr w:type="spellEnd"/>
          </w:p>
        </w:tc>
        <w:tc>
          <w:tcPr>
            <w:tcW w:w="985" w:type="dxa"/>
            <w:shd w:val="clear" w:color="auto" w:fill="FBE4D5" w:themeFill="accent2" w:themeFillTint="33"/>
          </w:tcPr>
          <w:p w14:paraId="29AB7163" w14:textId="37FAE337" w:rsidR="00E11B55" w:rsidRPr="00032EDA" w:rsidRDefault="00E11B55" w:rsidP="00E11B55">
            <w:pPr>
              <w:rPr>
                <w:sz w:val="18"/>
                <w:szCs w:val="18"/>
              </w:rPr>
            </w:pPr>
            <w:r>
              <w:rPr>
                <w:sz w:val="18"/>
                <w:szCs w:val="18"/>
              </w:rPr>
              <w:t xml:space="preserve">Date </w:t>
            </w:r>
            <w:proofErr w:type="spellStart"/>
            <w:r>
              <w:rPr>
                <w:sz w:val="18"/>
                <w:szCs w:val="18"/>
              </w:rPr>
              <w:t>limite</w:t>
            </w:r>
            <w:proofErr w:type="spellEnd"/>
          </w:p>
        </w:tc>
        <w:tc>
          <w:tcPr>
            <w:tcW w:w="1004" w:type="dxa"/>
            <w:shd w:val="clear" w:color="auto" w:fill="FBE4D5" w:themeFill="accent2" w:themeFillTint="33"/>
          </w:tcPr>
          <w:p w14:paraId="3129AF51" w14:textId="1E9C16E9" w:rsidR="00E11B55" w:rsidRPr="00032EDA" w:rsidRDefault="00E11B55" w:rsidP="00E11B55">
            <w:pPr>
              <w:rPr>
                <w:sz w:val="18"/>
                <w:szCs w:val="18"/>
              </w:rPr>
            </w:pPr>
            <w:proofErr w:type="spellStart"/>
            <w:r w:rsidRPr="00032EDA">
              <w:rPr>
                <w:sz w:val="18"/>
                <w:szCs w:val="18"/>
              </w:rPr>
              <w:t>Statu</w:t>
            </w:r>
            <w:r>
              <w:rPr>
                <w:sz w:val="18"/>
                <w:szCs w:val="18"/>
              </w:rPr>
              <w:t>t</w:t>
            </w:r>
            <w:proofErr w:type="spellEnd"/>
          </w:p>
        </w:tc>
      </w:tr>
      <w:tr w:rsidR="00414DD7" w14:paraId="6ACA97B6" w14:textId="77777777" w:rsidTr="00E11B55">
        <w:tc>
          <w:tcPr>
            <w:tcW w:w="2300" w:type="dxa"/>
          </w:tcPr>
          <w:p w14:paraId="5BA07720" w14:textId="372C2BCD" w:rsidR="00414DD7" w:rsidRPr="00414DD7" w:rsidRDefault="00DD0A55" w:rsidP="00511ECD">
            <w:pPr>
              <w:rPr>
                <w:rFonts w:asciiTheme="majorHAnsi" w:eastAsiaTheme="majorEastAsia" w:hAnsiTheme="majorHAnsi" w:cstheme="majorBidi"/>
                <w:sz w:val="18"/>
                <w:szCs w:val="18"/>
              </w:rPr>
            </w:pPr>
            <w:proofErr w:type="spellStart"/>
            <w:r w:rsidRPr="00DD0A55">
              <w:rPr>
                <w:rFonts w:asciiTheme="majorHAnsi" w:eastAsiaTheme="majorEastAsia" w:hAnsiTheme="majorHAnsi" w:cstheme="majorBidi"/>
                <w:sz w:val="18"/>
                <w:szCs w:val="18"/>
              </w:rPr>
              <w:t>Recrutement</w:t>
            </w:r>
            <w:proofErr w:type="spellEnd"/>
          </w:p>
        </w:tc>
        <w:tc>
          <w:tcPr>
            <w:tcW w:w="4013" w:type="dxa"/>
          </w:tcPr>
          <w:p w14:paraId="6E7BA76A" w14:textId="09A0663D" w:rsidR="00267345" w:rsidRPr="00267345" w:rsidRDefault="00267345" w:rsidP="00267345">
            <w:pPr>
              <w:rPr>
                <w:rFonts w:asciiTheme="majorHAnsi" w:eastAsiaTheme="majorEastAsia" w:hAnsiTheme="majorHAnsi" w:cstheme="majorBidi"/>
                <w:sz w:val="18"/>
                <w:szCs w:val="18"/>
                <w:lang w:val="fr-CA"/>
              </w:rPr>
            </w:pPr>
            <w:r w:rsidRPr="00267345">
              <w:rPr>
                <w:rFonts w:asciiTheme="majorHAnsi" w:eastAsiaTheme="majorEastAsia" w:hAnsiTheme="majorHAnsi" w:cstheme="majorBidi"/>
                <w:sz w:val="18"/>
                <w:szCs w:val="18"/>
                <w:lang w:val="fr-CA"/>
              </w:rPr>
              <w:t>Notification des politiques et des mesures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adaptation disponibles pour les candidats handicapés</w:t>
            </w:r>
          </w:p>
          <w:p w14:paraId="18D2730A" w14:textId="676D4882" w:rsidR="00267345" w:rsidRPr="00267345" w:rsidRDefault="00267345" w:rsidP="00267345">
            <w:pPr>
              <w:rPr>
                <w:rFonts w:asciiTheme="majorHAnsi" w:eastAsiaTheme="majorEastAsia" w:hAnsiTheme="majorHAnsi" w:cstheme="majorBidi"/>
                <w:sz w:val="18"/>
                <w:szCs w:val="18"/>
                <w:lang w:val="fr-CA"/>
              </w:rPr>
            </w:pPr>
            <w:r w:rsidRPr="00267345">
              <w:rPr>
                <w:rFonts w:asciiTheme="majorHAnsi" w:eastAsiaTheme="majorEastAsia" w:hAnsiTheme="majorHAnsi" w:cstheme="majorBidi"/>
                <w:sz w:val="18"/>
                <w:szCs w:val="18"/>
                <w:lang w:val="fr-CA"/>
              </w:rPr>
              <w:t>Fournir des mesures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adaptation qui tiennent compte des besoins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accessibilité du candidat en raison de son handicap</w:t>
            </w:r>
          </w:p>
          <w:p w14:paraId="5C93FEE7" w14:textId="77777777" w:rsidR="00267345" w:rsidRPr="00267345" w:rsidRDefault="00267345" w:rsidP="00267345">
            <w:pPr>
              <w:rPr>
                <w:rFonts w:asciiTheme="majorHAnsi" w:eastAsiaTheme="majorEastAsia" w:hAnsiTheme="majorHAnsi" w:cstheme="majorBidi"/>
                <w:sz w:val="18"/>
                <w:szCs w:val="18"/>
                <w:lang w:val="fr-CA"/>
              </w:rPr>
            </w:pPr>
          </w:p>
          <w:p w14:paraId="619AA625" w14:textId="6CAE246D" w:rsidR="00267345" w:rsidRPr="00267345" w:rsidRDefault="00267345" w:rsidP="00267345">
            <w:pPr>
              <w:rPr>
                <w:rFonts w:asciiTheme="majorHAnsi" w:eastAsiaTheme="majorEastAsia" w:hAnsiTheme="majorHAnsi" w:cstheme="majorBidi"/>
                <w:sz w:val="18"/>
                <w:szCs w:val="18"/>
                <w:lang w:val="fr-CA"/>
              </w:rPr>
            </w:pPr>
            <w:r w:rsidRPr="00267345">
              <w:rPr>
                <w:rFonts w:asciiTheme="majorHAnsi" w:eastAsiaTheme="majorEastAsia" w:hAnsiTheme="majorHAnsi" w:cstheme="majorBidi"/>
                <w:sz w:val="18"/>
                <w:szCs w:val="18"/>
                <w:lang w:val="fr-CA"/>
              </w:rPr>
              <w:t>Politique de recrutement révisée pour inclure la notification des mesures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adaptation pour les candidats. La politique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adaptation raisonnable élaborée et adoptée par le Conseil en octobre 2013 comprend l</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obligation d</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élaborer des plans uniques adaptés aux besoins de l</w:t>
            </w:r>
            <w:r w:rsidR="00DD40A5">
              <w:rPr>
                <w:rFonts w:asciiTheme="majorHAnsi" w:eastAsiaTheme="majorEastAsia" w:hAnsiTheme="majorHAnsi" w:cstheme="majorBidi"/>
                <w:sz w:val="18"/>
                <w:szCs w:val="18"/>
                <w:lang w:val="fr-CA"/>
              </w:rPr>
              <w:t>’</w:t>
            </w:r>
            <w:r w:rsidRPr="00267345">
              <w:rPr>
                <w:rFonts w:asciiTheme="majorHAnsi" w:eastAsiaTheme="majorEastAsia" w:hAnsiTheme="majorHAnsi" w:cstheme="majorBidi"/>
                <w:sz w:val="18"/>
                <w:szCs w:val="18"/>
                <w:lang w:val="fr-CA"/>
              </w:rPr>
              <w:t>employé</w:t>
            </w:r>
          </w:p>
        </w:tc>
        <w:tc>
          <w:tcPr>
            <w:tcW w:w="2382" w:type="dxa"/>
          </w:tcPr>
          <w:p w14:paraId="04E4BE60" w14:textId="091D93B9" w:rsidR="00414DD7" w:rsidRPr="00414DD7" w:rsidRDefault="00476390" w:rsidP="00511ECD">
            <w:pPr>
              <w:rPr>
                <w:rFonts w:asciiTheme="majorHAnsi" w:eastAsiaTheme="majorEastAsia" w:hAnsiTheme="majorHAnsi" w:cstheme="majorBidi"/>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985" w:type="dxa"/>
          </w:tcPr>
          <w:p w14:paraId="56680FB0" w14:textId="0FFCD8AF" w:rsidR="00414DD7" w:rsidRDefault="00414DD7" w:rsidP="00511ECD">
            <w:pPr>
              <w:rPr>
                <w:rFonts w:asciiTheme="majorHAnsi" w:eastAsiaTheme="majorEastAsia" w:hAnsiTheme="majorHAnsi" w:cstheme="majorBidi"/>
                <w:sz w:val="18"/>
                <w:szCs w:val="18"/>
              </w:rPr>
            </w:pPr>
            <w:r w:rsidRPr="00414DD7">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414DD7">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2016</w:t>
            </w:r>
          </w:p>
          <w:p w14:paraId="23527362" w14:textId="77777777" w:rsidR="00476390" w:rsidRDefault="00476390" w:rsidP="00511ECD">
            <w:pPr>
              <w:rPr>
                <w:rFonts w:asciiTheme="majorHAnsi" w:eastAsiaTheme="majorEastAsia" w:hAnsiTheme="majorHAnsi" w:cstheme="majorBidi"/>
                <w:sz w:val="18"/>
                <w:szCs w:val="18"/>
              </w:rPr>
            </w:pPr>
          </w:p>
          <w:p w14:paraId="712EB038" w14:textId="51E0AA1B" w:rsidR="00414DD7" w:rsidRPr="00414DD7" w:rsidRDefault="00476390" w:rsidP="00511ECD">
            <w:pPr>
              <w:rPr>
                <w:rFonts w:asciiTheme="majorHAnsi" w:eastAsiaTheme="majorEastAsia" w:hAnsiTheme="majorHAnsi" w:cstheme="majorBidi"/>
                <w:sz w:val="18"/>
                <w:szCs w:val="18"/>
              </w:rPr>
            </w:pPr>
            <w:proofErr w:type="spellStart"/>
            <w:r>
              <w:rPr>
                <w:rFonts w:asciiTheme="majorHAnsi" w:eastAsiaTheme="majorEastAsia" w:hAnsiTheme="majorHAnsi" w:cstheme="majorBidi"/>
                <w:sz w:val="18"/>
                <w:szCs w:val="18"/>
              </w:rPr>
              <w:t>Révisé</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en</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nov.</w:t>
            </w:r>
            <w:proofErr w:type="spellEnd"/>
            <w:r w:rsidR="00414DD7">
              <w:rPr>
                <w:rFonts w:asciiTheme="majorHAnsi" w:eastAsiaTheme="majorEastAsia" w:hAnsiTheme="majorHAnsi" w:cstheme="majorBidi"/>
                <w:sz w:val="18"/>
                <w:szCs w:val="18"/>
              </w:rPr>
              <w:t xml:space="preserve"> </w:t>
            </w:r>
            <w:r w:rsidR="00414DD7" w:rsidRPr="00414DD7">
              <w:rPr>
                <w:rFonts w:asciiTheme="majorHAnsi" w:eastAsiaTheme="majorEastAsia" w:hAnsiTheme="majorHAnsi" w:cstheme="majorBidi"/>
                <w:sz w:val="18"/>
                <w:szCs w:val="18"/>
              </w:rPr>
              <w:t>20</w:t>
            </w:r>
            <w:r w:rsidR="00414DD7">
              <w:rPr>
                <w:rFonts w:asciiTheme="majorHAnsi" w:eastAsiaTheme="majorEastAsia" w:hAnsiTheme="majorHAnsi" w:cstheme="majorBidi"/>
                <w:sz w:val="18"/>
                <w:szCs w:val="18"/>
              </w:rPr>
              <w:t>23</w:t>
            </w:r>
          </w:p>
          <w:p w14:paraId="272B5A05" w14:textId="77777777" w:rsidR="00414DD7" w:rsidRPr="00705FFC" w:rsidRDefault="00414DD7" w:rsidP="00511ECD">
            <w:pPr>
              <w:rPr>
                <w:rFonts w:asciiTheme="majorHAnsi" w:eastAsiaTheme="majorEastAsia" w:hAnsiTheme="majorHAnsi" w:cstheme="majorBidi"/>
                <w:sz w:val="18"/>
                <w:szCs w:val="18"/>
              </w:rPr>
            </w:pPr>
          </w:p>
          <w:p w14:paraId="45292717" w14:textId="77777777" w:rsidR="00414DD7" w:rsidRPr="00705FFC" w:rsidRDefault="00414DD7" w:rsidP="00511ECD">
            <w:pPr>
              <w:rPr>
                <w:rFonts w:asciiTheme="majorHAnsi" w:eastAsiaTheme="majorEastAsia" w:hAnsiTheme="majorHAnsi" w:cstheme="majorBidi"/>
                <w:sz w:val="18"/>
                <w:szCs w:val="18"/>
              </w:rPr>
            </w:pPr>
          </w:p>
          <w:p w14:paraId="56CD7CD0" w14:textId="77777777" w:rsidR="00414DD7" w:rsidRPr="00705FFC" w:rsidRDefault="00414DD7" w:rsidP="00511ECD">
            <w:pPr>
              <w:rPr>
                <w:rFonts w:asciiTheme="majorHAnsi" w:eastAsiaTheme="majorEastAsia" w:hAnsiTheme="majorHAnsi" w:cstheme="majorBidi"/>
                <w:sz w:val="18"/>
                <w:szCs w:val="18"/>
              </w:rPr>
            </w:pPr>
          </w:p>
          <w:p w14:paraId="243A2123" w14:textId="77777777" w:rsidR="00414DD7" w:rsidRPr="00705FFC" w:rsidRDefault="00414DD7" w:rsidP="00511ECD">
            <w:pPr>
              <w:rPr>
                <w:rFonts w:asciiTheme="majorHAnsi" w:eastAsiaTheme="majorEastAsia" w:hAnsiTheme="majorHAnsi" w:cstheme="majorBidi"/>
                <w:sz w:val="18"/>
                <w:szCs w:val="18"/>
              </w:rPr>
            </w:pPr>
          </w:p>
          <w:p w14:paraId="651612EE" w14:textId="77777777" w:rsidR="00414DD7" w:rsidRPr="00705FFC" w:rsidRDefault="00414DD7" w:rsidP="00511ECD">
            <w:pPr>
              <w:rPr>
                <w:rFonts w:asciiTheme="majorHAnsi" w:eastAsiaTheme="majorEastAsia" w:hAnsiTheme="majorHAnsi" w:cstheme="majorBidi"/>
                <w:sz w:val="18"/>
                <w:szCs w:val="18"/>
              </w:rPr>
            </w:pPr>
          </w:p>
          <w:p w14:paraId="1AE11EC9" w14:textId="77777777" w:rsidR="00414DD7" w:rsidRPr="00705FFC" w:rsidRDefault="00414DD7" w:rsidP="00511ECD">
            <w:pPr>
              <w:rPr>
                <w:rFonts w:asciiTheme="majorHAnsi" w:eastAsiaTheme="majorEastAsia" w:hAnsiTheme="majorHAnsi" w:cstheme="majorBidi"/>
                <w:sz w:val="18"/>
                <w:szCs w:val="18"/>
              </w:rPr>
            </w:pPr>
          </w:p>
          <w:p w14:paraId="4966D531" w14:textId="77777777" w:rsidR="00414DD7" w:rsidRPr="00705FFC" w:rsidRDefault="00414DD7" w:rsidP="00511ECD">
            <w:pPr>
              <w:rPr>
                <w:rFonts w:asciiTheme="majorHAnsi" w:eastAsiaTheme="majorEastAsia" w:hAnsiTheme="majorHAnsi" w:cstheme="majorBidi"/>
                <w:sz w:val="18"/>
                <w:szCs w:val="18"/>
              </w:rPr>
            </w:pPr>
          </w:p>
        </w:tc>
        <w:tc>
          <w:tcPr>
            <w:tcW w:w="1004" w:type="dxa"/>
          </w:tcPr>
          <w:p w14:paraId="090DA048" w14:textId="65470336" w:rsidR="00414DD7" w:rsidRPr="00705FFC" w:rsidRDefault="00414DD7" w:rsidP="00511ECD">
            <w:pPr>
              <w:rPr>
                <w:rFonts w:asciiTheme="majorHAnsi" w:eastAsiaTheme="majorEastAsia" w:hAnsiTheme="majorHAnsi" w:cstheme="majorBidi"/>
                <w:sz w:val="18"/>
                <w:szCs w:val="18"/>
              </w:rPr>
            </w:pPr>
            <w:proofErr w:type="spellStart"/>
            <w:r>
              <w:rPr>
                <w:rFonts w:asciiTheme="majorHAnsi" w:eastAsiaTheme="majorEastAsia" w:hAnsiTheme="majorHAnsi" w:cstheme="majorBidi"/>
                <w:sz w:val="18"/>
                <w:szCs w:val="18"/>
              </w:rPr>
              <w:t>Complet</w:t>
            </w:r>
            <w:proofErr w:type="spellEnd"/>
          </w:p>
        </w:tc>
      </w:tr>
      <w:tr w:rsidR="00414DD7" w14:paraId="27FF0477" w14:textId="77777777" w:rsidTr="00E11B55">
        <w:tc>
          <w:tcPr>
            <w:tcW w:w="2300" w:type="dxa"/>
          </w:tcPr>
          <w:p w14:paraId="792B0BBD" w14:textId="7BB00311" w:rsidR="00414DD7" w:rsidRPr="00DD0A55" w:rsidRDefault="00DD0A55" w:rsidP="00511ECD">
            <w:pPr>
              <w:rPr>
                <w:rFonts w:asciiTheme="majorHAnsi" w:eastAsiaTheme="majorEastAsia" w:hAnsiTheme="majorHAnsi" w:cstheme="majorBidi"/>
                <w:sz w:val="18"/>
                <w:szCs w:val="18"/>
                <w:lang w:val="fr-CA"/>
              </w:rPr>
            </w:pPr>
            <w:r w:rsidRPr="00DD0A55">
              <w:rPr>
                <w:rFonts w:asciiTheme="majorHAnsi" w:eastAsiaTheme="majorEastAsia" w:hAnsiTheme="majorHAnsi" w:cstheme="majorBidi"/>
                <w:sz w:val="18"/>
                <w:szCs w:val="18"/>
                <w:lang w:val="fr-CA"/>
              </w:rPr>
              <w:t>Informer les employés des mesures de soutien</w:t>
            </w:r>
          </w:p>
        </w:tc>
        <w:tc>
          <w:tcPr>
            <w:tcW w:w="4013" w:type="dxa"/>
          </w:tcPr>
          <w:p w14:paraId="47892A39" w14:textId="77777777"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 Informer tous les employés des politiques utilisées pour soutenir les employés handicapés</w:t>
            </w:r>
          </w:p>
          <w:p w14:paraId="74259635" w14:textId="77777777"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 Fournir les informations aux nouveaux employés</w:t>
            </w:r>
          </w:p>
          <w:p w14:paraId="610076B9" w14:textId="6090AF0A"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 Fournir des informations mises à jour aux employés chaque fois qu</w:t>
            </w:r>
            <w:r w:rsidR="009767E9">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 xml:space="preserve">une politique existante sur la </w:t>
            </w:r>
            <w:r w:rsidR="003D2C21">
              <w:rPr>
                <w:rFonts w:asciiTheme="majorHAnsi" w:eastAsiaTheme="majorEastAsia" w:hAnsiTheme="majorHAnsi" w:cstheme="majorBidi"/>
                <w:sz w:val="18"/>
                <w:szCs w:val="18"/>
                <w:lang w:val="fr-CA"/>
              </w:rPr>
              <w:t>prestation</w:t>
            </w:r>
            <w:r w:rsidRPr="00995FF7">
              <w:rPr>
                <w:rFonts w:asciiTheme="majorHAnsi" w:eastAsiaTheme="majorEastAsia" w:hAnsiTheme="majorHAnsi" w:cstheme="majorBidi"/>
                <w:sz w:val="18"/>
                <w:szCs w:val="18"/>
                <w:lang w:val="fr-CA"/>
              </w:rPr>
              <w:t xml:space="preserve"> d</w:t>
            </w:r>
            <w:r w:rsidR="009767E9">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aménagements de travail prend en compte les besoins d</w:t>
            </w:r>
            <w:r w:rsidR="009767E9">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accessibilité d</w:t>
            </w:r>
            <w:r w:rsidR="009767E9">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un employé en raison d</w:t>
            </w:r>
            <w:r w:rsidR="009767E9">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un handicap</w:t>
            </w:r>
          </w:p>
          <w:p w14:paraId="69D780A1" w14:textId="77777777" w:rsidR="00995FF7" w:rsidRPr="00995FF7" w:rsidRDefault="00995FF7" w:rsidP="00995FF7">
            <w:pPr>
              <w:rPr>
                <w:rFonts w:asciiTheme="majorHAnsi" w:eastAsiaTheme="majorEastAsia" w:hAnsiTheme="majorHAnsi" w:cstheme="majorBidi"/>
                <w:sz w:val="18"/>
                <w:szCs w:val="18"/>
                <w:lang w:val="fr-CA"/>
              </w:rPr>
            </w:pPr>
          </w:p>
          <w:p w14:paraId="455FE883" w14:textId="5E14BD60"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Politique d</w:t>
            </w:r>
            <w:r w:rsidR="00A67FA0">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 xml:space="preserve">aménagements raisonnables élaborée et approuvée par le </w:t>
            </w:r>
            <w:r w:rsidR="003D2C21">
              <w:rPr>
                <w:rFonts w:asciiTheme="majorHAnsi" w:eastAsiaTheme="majorEastAsia" w:hAnsiTheme="majorHAnsi" w:cstheme="majorBidi"/>
                <w:sz w:val="18"/>
                <w:szCs w:val="18"/>
                <w:lang w:val="fr-CA"/>
              </w:rPr>
              <w:t>C</w:t>
            </w:r>
            <w:r w:rsidRPr="00995FF7">
              <w:rPr>
                <w:rFonts w:asciiTheme="majorHAnsi" w:eastAsiaTheme="majorEastAsia" w:hAnsiTheme="majorHAnsi" w:cstheme="majorBidi"/>
                <w:sz w:val="18"/>
                <w:szCs w:val="18"/>
                <w:lang w:val="fr-CA"/>
              </w:rPr>
              <w:t>onseil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administration en octobre 2013, mise à jour en novembre 2016 et juin 2023</w:t>
            </w:r>
          </w:p>
        </w:tc>
        <w:tc>
          <w:tcPr>
            <w:tcW w:w="2382" w:type="dxa"/>
          </w:tcPr>
          <w:p w14:paraId="0B67B6EB" w14:textId="24C5C4ED" w:rsidR="00414DD7" w:rsidRPr="00FC5743" w:rsidRDefault="00476390" w:rsidP="00511ECD">
            <w:pPr>
              <w:rPr>
                <w:rFonts w:asciiTheme="majorHAnsi" w:eastAsiaTheme="majorEastAsia" w:hAnsiTheme="majorHAnsi" w:cstheme="majorBidi"/>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985" w:type="dxa"/>
          </w:tcPr>
          <w:p w14:paraId="24E11A3B" w14:textId="36D8CFE2" w:rsidR="00414DD7" w:rsidRDefault="00414DD7"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2016</w:t>
            </w:r>
          </w:p>
          <w:p w14:paraId="7DC8410E" w14:textId="77777777" w:rsidR="00476390" w:rsidRPr="00FC5743" w:rsidRDefault="00476390" w:rsidP="00511ECD">
            <w:pPr>
              <w:rPr>
                <w:rFonts w:asciiTheme="majorHAnsi" w:eastAsiaTheme="majorEastAsia" w:hAnsiTheme="majorHAnsi" w:cstheme="majorBidi"/>
                <w:sz w:val="18"/>
                <w:szCs w:val="18"/>
              </w:rPr>
            </w:pPr>
          </w:p>
          <w:p w14:paraId="6AB8207F" w14:textId="2CBEBB16" w:rsidR="00414DD7" w:rsidRPr="00414DD7" w:rsidRDefault="00476390" w:rsidP="00511ECD">
            <w:pPr>
              <w:rPr>
                <w:rFonts w:asciiTheme="majorHAnsi" w:eastAsiaTheme="majorEastAsia" w:hAnsiTheme="majorHAnsi" w:cstheme="majorBidi"/>
                <w:sz w:val="18"/>
                <w:szCs w:val="18"/>
              </w:rPr>
            </w:pPr>
            <w:proofErr w:type="spellStart"/>
            <w:r>
              <w:rPr>
                <w:rFonts w:asciiTheme="majorHAnsi" w:eastAsiaTheme="majorEastAsia" w:hAnsiTheme="majorHAnsi" w:cstheme="majorBidi"/>
                <w:sz w:val="18"/>
                <w:szCs w:val="18"/>
              </w:rPr>
              <w:t>Révisé</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en</w:t>
            </w:r>
            <w:proofErr w:type="spellEnd"/>
            <w:r>
              <w:rPr>
                <w:rFonts w:asciiTheme="majorHAnsi" w:eastAsiaTheme="majorEastAsia" w:hAnsiTheme="majorHAnsi" w:cstheme="majorBidi"/>
                <w:sz w:val="18"/>
                <w:szCs w:val="18"/>
              </w:rPr>
              <w:t xml:space="preserve"> </w:t>
            </w:r>
            <w:proofErr w:type="spellStart"/>
            <w:r>
              <w:rPr>
                <w:rFonts w:asciiTheme="majorHAnsi" w:eastAsiaTheme="majorEastAsia" w:hAnsiTheme="majorHAnsi" w:cstheme="majorBidi"/>
                <w:sz w:val="18"/>
                <w:szCs w:val="18"/>
              </w:rPr>
              <w:t>juin</w:t>
            </w:r>
            <w:proofErr w:type="spellEnd"/>
            <w:r w:rsidR="00414DD7" w:rsidRPr="00414DD7">
              <w:rPr>
                <w:rFonts w:asciiTheme="majorHAnsi" w:eastAsiaTheme="majorEastAsia" w:hAnsiTheme="majorHAnsi" w:cstheme="majorBidi"/>
                <w:sz w:val="18"/>
                <w:szCs w:val="18"/>
              </w:rPr>
              <w:t xml:space="preserve"> 2023</w:t>
            </w:r>
          </w:p>
          <w:p w14:paraId="34C3AAE3" w14:textId="77777777" w:rsidR="00414DD7" w:rsidRPr="00705FFC" w:rsidRDefault="00414DD7" w:rsidP="00511ECD">
            <w:pPr>
              <w:rPr>
                <w:rFonts w:asciiTheme="majorHAnsi" w:eastAsiaTheme="majorEastAsia" w:hAnsiTheme="majorHAnsi" w:cstheme="majorBidi"/>
                <w:sz w:val="18"/>
                <w:szCs w:val="18"/>
              </w:rPr>
            </w:pPr>
          </w:p>
        </w:tc>
        <w:tc>
          <w:tcPr>
            <w:tcW w:w="1004" w:type="dxa"/>
          </w:tcPr>
          <w:p w14:paraId="517F9EE1" w14:textId="51E8A677" w:rsidR="00414DD7"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414DD7" w14:paraId="40BB1C2F" w14:textId="77777777" w:rsidTr="00E11B55">
        <w:tc>
          <w:tcPr>
            <w:tcW w:w="2300" w:type="dxa"/>
          </w:tcPr>
          <w:p w14:paraId="7D5B2431" w14:textId="33D9E035" w:rsidR="00DD0A55" w:rsidRPr="00DD0A55" w:rsidRDefault="00DD0A55" w:rsidP="00511ECD">
            <w:pPr>
              <w:rPr>
                <w:rFonts w:asciiTheme="majorHAnsi" w:eastAsiaTheme="majorEastAsia" w:hAnsiTheme="majorHAnsi" w:cstheme="majorBidi"/>
                <w:sz w:val="18"/>
                <w:szCs w:val="18"/>
                <w:lang w:val="fr-CA"/>
              </w:rPr>
            </w:pPr>
            <w:r w:rsidRPr="00DD0A55">
              <w:rPr>
                <w:rFonts w:asciiTheme="majorHAnsi" w:eastAsiaTheme="majorEastAsia" w:hAnsiTheme="majorHAnsi" w:cstheme="majorBidi"/>
                <w:sz w:val="18"/>
                <w:szCs w:val="18"/>
                <w:lang w:val="fr-CA"/>
              </w:rPr>
              <w:t xml:space="preserve">Formats accessibles et aides à la communication pour les </w:t>
            </w:r>
            <w:r w:rsidR="003D2C21">
              <w:rPr>
                <w:rFonts w:asciiTheme="majorHAnsi" w:eastAsiaTheme="majorEastAsia" w:hAnsiTheme="majorHAnsi" w:cstheme="majorBidi"/>
                <w:sz w:val="18"/>
                <w:szCs w:val="18"/>
                <w:lang w:val="fr-CA"/>
              </w:rPr>
              <w:t>employés</w:t>
            </w:r>
            <w:r w:rsidR="00A67FA0">
              <w:rPr>
                <w:rFonts w:asciiTheme="majorHAnsi" w:eastAsiaTheme="majorEastAsia" w:hAnsiTheme="majorHAnsi" w:cstheme="majorBidi"/>
                <w:sz w:val="18"/>
                <w:szCs w:val="18"/>
                <w:lang w:val="fr-CA"/>
              </w:rPr>
              <w:t> </w:t>
            </w:r>
            <w:r w:rsidRPr="00DD0A55">
              <w:rPr>
                <w:rFonts w:asciiTheme="majorHAnsi" w:eastAsiaTheme="majorEastAsia" w:hAnsiTheme="majorHAnsi" w:cstheme="majorBidi"/>
                <w:sz w:val="18"/>
                <w:szCs w:val="18"/>
                <w:lang w:val="fr-CA"/>
              </w:rPr>
              <w:t>:</w:t>
            </w:r>
          </w:p>
        </w:tc>
        <w:tc>
          <w:tcPr>
            <w:tcW w:w="4013" w:type="dxa"/>
          </w:tcPr>
          <w:p w14:paraId="21802A4C" w14:textId="77777777"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 Informations nécessaires à l’exécution de leur travail</w:t>
            </w:r>
          </w:p>
          <w:p w14:paraId="4CE3582F" w14:textId="77777777"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 Informations généralement accessibles aux employés sur le lieu de travail</w:t>
            </w:r>
          </w:p>
          <w:p w14:paraId="48BAF437" w14:textId="77777777" w:rsidR="00995FF7" w:rsidRPr="00995FF7" w:rsidRDefault="00995FF7" w:rsidP="00995FF7">
            <w:pPr>
              <w:rPr>
                <w:rFonts w:asciiTheme="majorHAnsi" w:eastAsiaTheme="majorEastAsia" w:hAnsiTheme="majorHAnsi" w:cstheme="majorBidi"/>
                <w:sz w:val="18"/>
                <w:szCs w:val="18"/>
                <w:lang w:val="fr-CA"/>
              </w:rPr>
            </w:pPr>
          </w:p>
          <w:p w14:paraId="0FCB36D2" w14:textId="4737C676"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Selon les besoins, les employés recevront des informations dans des formats accessibles.</w:t>
            </w:r>
          </w:p>
        </w:tc>
        <w:tc>
          <w:tcPr>
            <w:tcW w:w="2382" w:type="dxa"/>
          </w:tcPr>
          <w:p w14:paraId="0202E08C" w14:textId="487B2ADE" w:rsidR="00414DD7" w:rsidRPr="00476390" w:rsidRDefault="00476390" w:rsidP="00511ECD">
            <w:pPr>
              <w:rPr>
                <w:rFonts w:asciiTheme="majorHAnsi" w:eastAsiaTheme="majorEastAsia" w:hAnsiTheme="majorHAnsi" w:cstheme="majorBidi"/>
                <w:sz w:val="18"/>
                <w:szCs w:val="18"/>
                <w:lang w:val="fr-CA"/>
              </w:rPr>
            </w:pPr>
            <w:r w:rsidRPr="00476390">
              <w:rPr>
                <w:sz w:val="18"/>
                <w:szCs w:val="18"/>
                <w:lang w:val="fr-CA"/>
              </w:rPr>
              <w:t>Personnes, culture et appartenance</w:t>
            </w:r>
            <w:r w:rsidR="00414DD7" w:rsidRPr="00476390">
              <w:rPr>
                <w:rFonts w:asciiTheme="majorHAnsi" w:eastAsiaTheme="majorEastAsia" w:hAnsiTheme="majorHAnsi" w:cstheme="majorBidi"/>
                <w:sz w:val="18"/>
                <w:szCs w:val="18"/>
                <w:lang w:val="fr-CA"/>
              </w:rPr>
              <w:t>/</w:t>
            </w:r>
          </w:p>
          <w:p w14:paraId="436D0E8F" w14:textId="17611230" w:rsidR="00414DD7" w:rsidRPr="00476390" w:rsidRDefault="00414DD7" w:rsidP="00511ECD">
            <w:pPr>
              <w:rPr>
                <w:rFonts w:asciiTheme="majorHAnsi" w:eastAsiaTheme="majorEastAsia" w:hAnsiTheme="majorHAnsi" w:cstheme="majorBidi"/>
                <w:sz w:val="18"/>
                <w:szCs w:val="18"/>
                <w:lang w:val="fr-CA"/>
              </w:rPr>
            </w:pPr>
            <w:r w:rsidRPr="00476390">
              <w:rPr>
                <w:rFonts w:asciiTheme="majorHAnsi" w:eastAsiaTheme="majorEastAsia" w:hAnsiTheme="majorHAnsi" w:cstheme="majorBidi"/>
                <w:sz w:val="18"/>
                <w:szCs w:val="18"/>
                <w:lang w:val="fr-CA"/>
              </w:rPr>
              <w:t>Communication/</w:t>
            </w:r>
            <w:r w:rsidR="00476390" w:rsidRPr="00476390">
              <w:rPr>
                <w:rFonts w:asciiTheme="majorHAnsi" w:eastAsiaTheme="majorEastAsia" w:hAnsiTheme="majorHAnsi" w:cstheme="majorBidi"/>
                <w:sz w:val="18"/>
                <w:szCs w:val="18"/>
                <w:lang w:val="fr-CA"/>
              </w:rPr>
              <w:t>TI</w:t>
            </w:r>
            <w:r w:rsidRPr="00476390">
              <w:rPr>
                <w:rFonts w:asciiTheme="majorHAnsi" w:eastAsiaTheme="majorEastAsia" w:hAnsiTheme="majorHAnsi" w:cstheme="majorBidi"/>
                <w:sz w:val="18"/>
                <w:szCs w:val="18"/>
                <w:lang w:val="fr-CA"/>
              </w:rPr>
              <w:t>/Program</w:t>
            </w:r>
            <w:r w:rsidR="00476390" w:rsidRPr="00476390">
              <w:rPr>
                <w:rFonts w:asciiTheme="majorHAnsi" w:eastAsiaTheme="majorEastAsia" w:hAnsiTheme="majorHAnsi" w:cstheme="majorBidi"/>
                <w:sz w:val="18"/>
                <w:szCs w:val="18"/>
                <w:lang w:val="fr-CA"/>
              </w:rPr>
              <w:t>me</w:t>
            </w:r>
            <w:r w:rsidRPr="00476390">
              <w:rPr>
                <w:rFonts w:asciiTheme="majorHAnsi" w:eastAsiaTheme="majorEastAsia" w:hAnsiTheme="majorHAnsi" w:cstheme="majorBidi"/>
                <w:sz w:val="18"/>
                <w:szCs w:val="18"/>
                <w:lang w:val="fr-CA"/>
              </w:rPr>
              <w:t>s</w:t>
            </w:r>
          </w:p>
        </w:tc>
        <w:tc>
          <w:tcPr>
            <w:tcW w:w="985" w:type="dxa"/>
          </w:tcPr>
          <w:p w14:paraId="49D46A87" w14:textId="52669B27" w:rsidR="00414DD7" w:rsidRPr="00FC5743" w:rsidRDefault="00414DD7"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2014</w:t>
            </w:r>
          </w:p>
        </w:tc>
        <w:tc>
          <w:tcPr>
            <w:tcW w:w="1004" w:type="dxa"/>
          </w:tcPr>
          <w:p w14:paraId="7507A112" w14:textId="4063750B" w:rsidR="00414DD7"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414DD7" w14:paraId="12B85DE4" w14:textId="77777777" w:rsidTr="00E11B55">
        <w:trPr>
          <w:trHeight w:val="2096"/>
        </w:trPr>
        <w:tc>
          <w:tcPr>
            <w:tcW w:w="2300" w:type="dxa"/>
          </w:tcPr>
          <w:p w14:paraId="65351F99" w14:textId="732BC0A8" w:rsidR="00DD0A55" w:rsidRPr="00DD0A55" w:rsidRDefault="00DD0A55" w:rsidP="00511ECD">
            <w:pPr>
              <w:rPr>
                <w:sz w:val="18"/>
                <w:szCs w:val="18"/>
                <w:lang w:val="fr-CA"/>
              </w:rPr>
            </w:pPr>
            <w:r w:rsidRPr="00DD0A55">
              <w:rPr>
                <w:sz w:val="18"/>
                <w:szCs w:val="18"/>
                <w:lang w:val="fr-CA"/>
              </w:rPr>
              <w:t>Informations sur les interventions d’urgence en milieu de travail</w:t>
            </w:r>
          </w:p>
        </w:tc>
        <w:tc>
          <w:tcPr>
            <w:tcW w:w="4013" w:type="dxa"/>
          </w:tcPr>
          <w:p w14:paraId="68224E84" w14:textId="057C25C8"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Plan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intervention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urgence élaboré et approuvé par le Conseil</w:t>
            </w:r>
            <w:r w:rsidR="003D2C21">
              <w:rPr>
                <w:rFonts w:asciiTheme="majorHAnsi" w:eastAsiaTheme="majorEastAsia" w:hAnsiTheme="majorHAnsi" w:cstheme="majorBidi"/>
                <w:sz w:val="18"/>
                <w:szCs w:val="18"/>
                <w:lang w:val="fr-CA"/>
              </w:rPr>
              <w:t xml:space="preserve"> d’administration</w:t>
            </w:r>
            <w:r w:rsidRPr="00995FF7">
              <w:rPr>
                <w:rFonts w:asciiTheme="majorHAnsi" w:eastAsiaTheme="majorEastAsia" w:hAnsiTheme="majorHAnsi" w:cstheme="majorBidi"/>
                <w:sz w:val="18"/>
                <w:szCs w:val="18"/>
                <w:lang w:val="fr-CA"/>
              </w:rPr>
              <w:t xml:space="preserve"> en décembre 2012.</w:t>
            </w:r>
          </w:p>
          <w:p w14:paraId="072AFDA4" w14:textId="77777777" w:rsidR="00995FF7" w:rsidRPr="00995FF7" w:rsidRDefault="00995FF7" w:rsidP="00995FF7">
            <w:pPr>
              <w:rPr>
                <w:rFonts w:asciiTheme="majorHAnsi" w:eastAsiaTheme="majorEastAsia" w:hAnsiTheme="majorHAnsi" w:cstheme="majorBidi"/>
                <w:sz w:val="18"/>
                <w:szCs w:val="18"/>
                <w:lang w:val="fr-CA"/>
              </w:rPr>
            </w:pPr>
          </w:p>
          <w:p w14:paraId="17512E55" w14:textId="2634470B"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Le plan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intervention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urgence a remplacé l</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ancienne politique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évacuation en cas d</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incendie. La nouvelle politique/le nouveau plan a précisé les exigences relatives à l</w:t>
            </w:r>
            <w:r w:rsidR="003D2C21">
              <w:rPr>
                <w:rFonts w:asciiTheme="majorHAnsi" w:eastAsiaTheme="majorEastAsia" w:hAnsiTheme="majorHAnsi" w:cstheme="majorBidi"/>
                <w:sz w:val="18"/>
                <w:szCs w:val="18"/>
                <w:lang w:val="fr-CA"/>
              </w:rPr>
              <w:t>’</w:t>
            </w:r>
            <w:r w:rsidRPr="00995FF7">
              <w:rPr>
                <w:rFonts w:asciiTheme="majorHAnsi" w:eastAsiaTheme="majorEastAsia" w:hAnsiTheme="majorHAnsi" w:cstheme="majorBidi"/>
                <w:sz w:val="18"/>
                <w:szCs w:val="18"/>
                <w:lang w:val="fr-CA"/>
              </w:rPr>
              <w:t>élaboration de plans individualisés pour les employés handicapés.</w:t>
            </w:r>
          </w:p>
          <w:p w14:paraId="206B3DBC" w14:textId="77777777" w:rsidR="00995FF7" w:rsidRPr="00995FF7" w:rsidRDefault="00995FF7" w:rsidP="00995FF7">
            <w:pPr>
              <w:rPr>
                <w:rFonts w:asciiTheme="majorHAnsi" w:eastAsiaTheme="majorEastAsia" w:hAnsiTheme="majorHAnsi" w:cstheme="majorBidi"/>
                <w:sz w:val="18"/>
                <w:szCs w:val="18"/>
                <w:lang w:val="fr-CA"/>
              </w:rPr>
            </w:pPr>
          </w:p>
          <w:p w14:paraId="5F3FAF4C" w14:textId="4D2C1A61" w:rsidR="00995FF7" w:rsidRPr="00995FF7" w:rsidRDefault="00995FF7" w:rsidP="00995FF7">
            <w:pPr>
              <w:rPr>
                <w:rFonts w:asciiTheme="majorHAnsi" w:eastAsiaTheme="majorEastAsia" w:hAnsiTheme="majorHAnsi" w:cstheme="majorBidi"/>
                <w:sz w:val="18"/>
                <w:szCs w:val="18"/>
                <w:lang w:val="fr-CA"/>
              </w:rPr>
            </w:pPr>
            <w:r w:rsidRPr="00995FF7">
              <w:rPr>
                <w:rFonts w:asciiTheme="majorHAnsi" w:eastAsiaTheme="majorEastAsia" w:hAnsiTheme="majorHAnsi" w:cstheme="majorBidi"/>
                <w:sz w:val="18"/>
                <w:szCs w:val="18"/>
                <w:lang w:val="fr-CA"/>
              </w:rPr>
              <w:t>Politique mise à jour en 2016</w:t>
            </w:r>
          </w:p>
        </w:tc>
        <w:tc>
          <w:tcPr>
            <w:tcW w:w="2382" w:type="dxa"/>
          </w:tcPr>
          <w:p w14:paraId="2934ED5F" w14:textId="5A91A3DB" w:rsidR="00414DD7" w:rsidRPr="00596F0A" w:rsidRDefault="00476390" w:rsidP="00511ECD">
            <w:pPr>
              <w:rPr>
                <w:rFonts w:asciiTheme="majorHAnsi" w:eastAsiaTheme="majorEastAsia" w:hAnsiTheme="majorHAnsi" w:cstheme="majorBidi"/>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985" w:type="dxa"/>
          </w:tcPr>
          <w:p w14:paraId="6E832B87" w14:textId="64F2EA9A" w:rsidR="00414DD7" w:rsidRPr="00596F0A" w:rsidRDefault="00414DD7" w:rsidP="00511ECD">
            <w:pPr>
              <w:rPr>
                <w:rFonts w:asciiTheme="majorHAnsi" w:eastAsiaTheme="majorEastAsia" w:hAnsiTheme="majorHAnsi" w:cstheme="majorBidi"/>
                <w:sz w:val="18"/>
                <w:szCs w:val="18"/>
              </w:rPr>
            </w:pPr>
            <w:r w:rsidRPr="00596F0A">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596F0A">
              <w:rPr>
                <w:rFonts w:asciiTheme="majorHAnsi" w:eastAsiaTheme="majorEastAsia" w:hAnsiTheme="majorHAnsi" w:cstheme="majorBidi"/>
                <w:sz w:val="18"/>
                <w:szCs w:val="18"/>
              </w:rPr>
              <w:t xml:space="preserve"> 2012</w:t>
            </w:r>
          </w:p>
          <w:p w14:paraId="3929C7F7" w14:textId="77777777" w:rsidR="00414DD7" w:rsidRPr="00414DD7" w:rsidRDefault="00414DD7" w:rsidP="00511ECD">
            <w:pPr>
              <w:rPr>
                <w:rFonts w:asciiTheme="majorHAnsi" w:eastAsiaTheme="majorEastAsia" w:hAnsiTheme="majorHAnsi" w:cstheme="majorBidi"/>
                <w:sz w:val="18"/>
                <w:szCs w:val="18"/>
              </w:rPr>
            </w:pPr>
          </w:p>
        </w:tc>
        <w:tc>
          <w:tcPr>
            <w:tcW w:w="1004" w:type="dxa"/>
          </w:tcPr>
          <w:p w14:paraId="12E91431" w14:textId="59E30485" w:rsidR="00414DD7" w:rsidRPr="00596F0A"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0668E5" w14:paraId="4FB146C0" w14:textId="77777777" w:rsidTr="00E11B55">
        <w:tc>
          <w:tcPr>
            <w:tcW w:w="2300" w:type="dxa"/>
          </w:tcPr>
          <w:p w14:paraId="45F6AF3F" w14:textId="7D0AA123" w:rsidR="00DD0A55" w:rsidRPr="00FC5743" w:rsidRDefault="00DD0A55" w:rsidP="00511ECD">
            <w:pPr>
              <w:rPr>
                <w:rFonts w:asciiTheme="majorHAnsi" w:eastAsiaTheme="majorEastAsia" w:hAnsiTheme="majorHAnsi" w:cstheme="majorBidi"/>
                <w:sz w:val="18"/>
                <w:szCs w:val="18"/>
              </w:rPr>
            </w:pPr>
            <w:r w:rsidRPr="00DD0A55">
              <w:rPr>
                <w:rFonts w:asciiTheme="majorHAnsi" w:eastAsiaTheme="majorEastAsia" w:hAnsiTheme="majorHAnsi" w:cstheme="majorBidi"/>
                <w:sz w:val="18"/>
                <w:szCs w:val="18"/>
              </w:rPr>
              <w:t xml:space="preserve">Plans </w:t>
            </w:r>
            <w:proofErr w:type="spellStart"/>
            <w:r w:rsidRPr="00DD0A55">
              <w:rPr>
                <w:rFonts w:asciiTheme="majorHAnsi" w:eastAsiaTheme="majorEastAsia" w:hAnsiTheme="majorHAnsi" w:cstheme="majorBidi"/>
                <w:sz w:val="18"/>
                <w:szCs w:val="18"/>
              </w:rPr>
              <w:t>d</w:t>
            </w:r>
            <w:r w:rsidR="003D2C21">
              <w:rPr>
                <w:rFonts w:asciiTheme="majorHAnsi" w:eastAsiaTheme="majorEastAsia" w:hAnsiTheme="majorHAnsi" w:cstheme="majorBidi"/>
                <w:sz w:val="18"/>
                <w:szCs w:val="18"/>
              </w:rPr>
              <w:t>’</w:t>
            </w:r>
            <w:r w:rsidRPr="00DD0A55">
              <w:rPr>
                <w:rFonts w:asciiTheme="majorHAnsi" w:eastAsiaTheme="majorEastAsia" w:hAnsiTheme="majorHAnsi" w:cstheme="majorBidi"/>
                <w:sz w:val="18"/>
                <w:szCs w:val="18"/>
              </w:rPr>
              <w:t>a</w:t>
            </w:r>
            <w:r w:rsidR="003D2C21">
              <w:rPr>
                <w:rFonts w:asciiTheme="majorHAnsi" w:eastAsiaTheme="majorEastAsia" w:hAnsiTheme="majorHAnsi" w:cstheme="majorBidi"/>
                <w:sz w:val="18"/>
                <w:szCs w:val="18"/>
              </w:rPr>
              <w:t>ménagement</w:t>
            </w:r>
            <w:proofErr w:type="spellEnd"/>
            <w:r w:rsidR="003D2C21">
              <w:rPr>
                <w:rFonts w:asciiTheme="majorHAnsi" w:eastAsiaTheme="majorEastAsia" w:hAnsiTheme="majorHAnsi" w:cstheme="majorBidi"/>
                <w:sz w:val="18"/>
                <w:szCs w:val="18"/>
              </w:rPr>
              <w:t xml:space="preserve"> </w:t>
            </w:r>
            <w:proofErr w:type="spellStart"/>
            <w:r w:rsidRPr="00DD0A55">
              <w:rPr>
                <w:rFonts w:asciiTheme="majorHAnsi" w:eastAsiaTheme="majorEastAsia" w:hAnsiTheme="majorHAnsi" w:cstheme="majorBidi"/>
                <w:sz w:val="18"/>
                <w:szCs w:val="18"/>
              </w:rPr>
              <w:t>individuels</w:t>
            </w:r>
            <w:proofErr w:type="spellEnd"/>
            <w:r w:rsidRPr="00DD0A55">
              <w:rPr>
                <w:rFonts w:asciiTheme="majorHAnsi" w:eastAsiaTheme="majorEastAsia" w:hAnsiTheme="majorHAnsi" w:cstheme="majorBidi"/>
                <w:sz w:val="18"/>
                <w:szCs w:val="18"/>
              </w:rPr>
              <w:t xml:space="preserve"> </w:t>
            </w:r>
            <w:proofErr w:type="spellStart"/>
            <w:r w:rsidRPr="00DD0A55">
              <w:rPr>
                <w:rFonts w:asciiTheme="majorHAnsi" w:eastAsiaTheme="majorEastAsia" w:hAnsiTheme="majorHAnsi" w:cstheme="majorBidi"/>
                <w:sz w:val="18"/>
                <w:szCs w:val="18"/>
              </w:rPr>
              <w:t>documentés</w:t>
            </w:r>
            <w:proofErr w:type="spellEnd"/>
          </w:p>
        </w:tc>
        <w:tc>
          <w:tcPr>
            <w:tcW w:w="4013" w:type="dxa"/>
          </w:tcPr>
          <w:p w14:paraId="6856A40C" w14:textId="103CFBD0"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La </w:t>
            </w:r>
            <w:r w:rsidR="003D2C21">
              <w:rPr>
                <w:rFonts w:asciiTheme="majorHAnsi" w:eastAsiaTheme="majorEastAsia" w:hAnsiTheme="majorHAnsi" w:cstheme="majorBidi"/>
                <w:sz w:val="18"/>
                <w:szCs w:val="18"/>
                <w:lang w:val="fr-CA"/>
              </w:rPr>
              <w:t>p</w:t>
            </w:r>
            <w:r w:rsidR="003D2C21" w:rsidRPr="003D2C21">
              <w:rPr>
                <w:rFonts w:asciiTheme="majorHAnsi" w:eastAsiaTheme="majorEastAsia" w:hAnsiTheme="majorHAnsi" w:cstheme="majorBidi"/>
                <w:sz w:val="18"/>
                <w:szCs w:val="18"/>
                <w:lang w:val="fr-CA"/>
              </w:rPr>
              <w:t>olitique d</w:t>
            </w:r>
            <w:r w:rsidR="003D2C21">
              <w:rPr>
                <w:rFonts w:asciiTheme="majorHAnsi" w:eastAsiaTheme="majorEastAsia" w:hAnsiTheme="majorHAnsi" w:cstheme="majorBidi"/>
                <w:sz w:val="18"/>
                <w:szCs w:val="18"/>
                <w:lang w:val="fr-CA"/>
              </w:rPr>
              <w:t>’</w:t>
            </w:r>
            <w:r w:rsidR="003D2C21" w:rsidRPr="003D2C21">
              <w:rPr>
                <w:rFonts w:asciiTheme="majorHAnsi" w:eastAsiaTheme="majorEastAsia" w:hAnsiTheme="majorHAnsi" w:cstheme="majorBidi"/>
                <w:sz w:val="18"/>
                <w:szCs w:val="18"/>
                <w:lang w:val="fr-CA"/>
              </w:rPr>
              <w:t>aménagements raisonnables</w:t>
            </w:r>
            <w:r w:rsidR="003D2C21">
              <w:rPr>
                <w:rFonts w:asciiTheme="majorHAnsi" w:eastAsiaTheme="majorEastAsia" w:hAnsiTheme="majorHAnsi" w:cstheme="majorBidi"/>
                <w:sz w:val="18"/>
                <w:szCs w:val="18"/>
                <w:lang w:val="fr-CA"/>
              </w:rPr>
              <w:t xml:space="preserve"> </w:t>
            </w:r>
            <w:r w:rsidRPr="00AD639F">
              <w:rPr>
                <w:rFonts w:asciiTheme="majorHAnsi" w:eastAsiaTheme="majorEastAsia" w:hAnsiTheme="majorHAnsi" w:cstheme="majorBidi"/>
                <w:sz w:val="18"/>
                <w:szCs w:val="18"/>
                <w:lang w:val="fr-CA"/>
              </w:rPr>
              <w:t xml:space="preserve">élaborée et approuvée par le Conseil </w:t>
            </w:r>
            <w:r w:rsidR="003D2C21">
              <w:rPr>
                <w:rFonts w:asciiTheme="majorHAnsi" w:eastAsiaTheme="majorEastAsia" w:hAnsiTheme="majorHAnsi" w:cstheme="majorBidi"/>
                <w:sz w:val="18"/>
                <w:szCs w:val="18"/>
                <w:lang w:val="fr-CA"/>
              </w:rPr>
              <w:t xml:space="preserve">d’administration </w:t>
            </w:r>
            <w:r w:rsidRPr="00AD639F">
              <w:rPr>
                <w:rFonts w:asciiTheme="majorHAnsi" w:eastAsiaTheme="majorEastAsia" w:hAnsiTheme="majorHAnsi" w:cstheme="majorBidi"/>
                <w:sz w:val="18"/>
                <w:szCs w:val="18"/>
                <w:lang w:val="fr-CA"/>
              </w:rPr>
              <w:t>en octobre 2013 et révisée en novembre 2016 et juin 2023 décrit les processus d</w:t>
            </w:r>
            <w:r w:rsidR="003D2C21">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élaboration des plans d</w:t>
            </w:r>
            <w:r w:rsidR="003D2C21">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adaptation et comprend :</w:t>
            </w:r>
          </w:p>
          <w:p w14:paraId="5EE03D1E" w14:textId="4245D50A"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l</w:t>
            </w:r>
            <w:r w:rsidR="003D2C21">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obligation de consulter l</w:t>
            </w:r>
            <w:r w:rsidR="003D2C21">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employé</w:t>
            </w:r>
          </w:p>
          <w:p w14:paraId="5B95A327" w14:textId="2DD78769"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 </w:t>
            </w:r>
            <w:r w:rsidR="003D2C21">
              <w:rPr>
                <w:rFonts w:asciiTheme="majorHAnsi" w:eastAsiaTheme="majorEastAsia" w:hAnsiTheme="majorHAnsi" w:cstheme="majorBidi"/>
                <w:sz w:val="18"/>
                <w:szCs w:val="18"/>
                <w:lang w:val="fr-CA"/>
              </w:rPr>
              <w:t>l’élaboration</w:t>
            </w:r>
            <w:r w:rsidRPr="00AD639F">
              <w:rPr>
                <w:rFonts w:asciiTheme="majorHAnsi" w:eastAsiaTheme="majorEastAsia" w:hAnsiTheme="majorHAnsi" w:cstheme="majorBidi"/>
                <w:sz w:val="18"/>
                <w:szCs w:val="18"/>
                <w:lang w:val="fr-CA"/>
              </w:rPr>
              <w:t xml:space="preserve"> en fonction des besoins individuels</w:t>
            </w:r>
          </w:p>
          <w:p w14:paraId="16A107A8" w14:textId="08503942"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 </w:t>
            </w:r>
            <w:r w:rsidR="003D2C21">
              <w:rPr>
                <w:rFonts w:asciiTheme="majorHAnsi" w:eastAsiaTheme="majorEastAsia" w:hAnsiTheme="majorHAnsi" w:cstheme="majorBidi"/>
                <w:sz w:val="18"/>
                <w:szCs w:val="18"/>
                <w:lang w:val="fr-CA"/>
              </w:rPr>
              <w:t xml:space="preserve">le </w:t>
            </w:r>
            <w:r w:rsidRPr="00AD639F">
              <w:rPr>
                <w:rFonts w:asciiTheme="majorHAnsi" w:eastAsiaTheme="majorEastAsia" w:hAnsiTheme="majorHAnsi" w:cstheme="majorBidi"/>
                <w:sz w:val="18"/>
                <w:szCs w:val="18"/>
                <w:lang w:val="fr-CA"/>
              </w:rPr>
              <w:t>processus de consultation d</w:t>
            </w:r>
            <w:r w:rsidR="003D2C21">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experts externes</w:t>
            </w:r>
          </w:p>
          <w:p w14:paraId="3AAF6E81" w14:textId="1A0CC308"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 </w:t>
            </w:r>
            <w:r w:rsidR="003D2C21">
              <w:rPr>
                <w:rFonts w:asciiTheme="majorHAnsi" w:eastAsiaTheme="majorEastAsia" w:hAnsiTheme="majorHAnsi" w:cstheme="majorBidi"/>
                <w:sz w:val="18"/>
                <w:szCs w:val="18"/>
                <w:lang w:val="fr-CA"/>
              </w:rPr>
              <w:t>l’</w:t>
            </w:r>
            <w:r w:rsidRPr="00AD639F">
              <w:rPr>
                <w:rFonts w:asciiTheme="majorHAnsi" w:eastAsiaTheme="majorEastAsia" w:hAnsiTheme="majorHAnsi" w:cstheme="majorBidi"/>
                <w:sz w:val="18"/>
                <w:szCs w:val="18"/>
                <w:lang w:val="fr-CA"/>
              </w:rPr>
              <w:t>implication du syndicat, le cas échéant</w:t>
            </w:r>
          </w:p>
          <w:p w14:paraId="772F26B9" w14:textId="126C076B"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 </w:t>
            </w:r>
            <w:r w:rsidR="003D2C21">
              <w:rPr>
                <w:rFonts w:asciiTheme="majorHAnsi" w:eastAsiaTheme="majorEastAsia" w:hAnsiTheme="majorHAnsi" w:cstheme="majorBidi"/>
                <w:sz w:val="18"/>
                <w:szCs w:val="18"/>
                <w:lang w:val="fr-CA"/>
              </w:rPr>
              <w:t xml:space="preserve">la </w:t>
            </w:r>
            <w:r w:rsidRPr="00AD639F">
              <w:rPr>
                <w:rFonts w:asciiTheme="majorHAnsi" w:eastAsiaTheme="majorEastAsia" w:hAnsiTheme="majorHAnsi" w:cstheme="majorBidi"/>
                <w:sz w:val="18"/>
                <w:szCs w:val="18"/>
                <w:lang w:val="fr-CA"/>
              </w:rPr>
              <w:t>confidentialité</w:t>
            </w:r>
          </w:p>
          <w:p w14:paraId="6E4A92A7" w14:textId="016EDD0D" w:rsidR="00AD639F" w:rsidRPr="00AD639F" w:rsidRDefault="00AD639F" w:rsidP="00AD639F">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 xml:space="preserve">• </w:t>
            </w:r>
            <w:r w:rsidR="003D2C21">
              <w:rPr>
                <w:rFonts w:asciiTheme="majorHAnsi" w:eastAsiaTheme="majorEastAsia" w:hAnsiTheme="majorHAnsi" w:cstheme="majorBidi"/>
                <w:sz w:val="18"/>
                <w:szCs w:val="18"/>
                <w:lang w:val="fr-CA"/>
              </w:rPr>
              <w:t xml:space="preserve">les </w:t>
            </w:r>
            <w:r w:rsidRPr="00AD639F">
              <w:rPr>
                <w:rFonts w:asciiTheme="majorHAnsi" w:eastAsiaTheme="majorEastAsia" w:hAnsiTheme="majorHAnsi" w:cstheme="majorBidi"/>
                <w:sz w:val="18"/>
                <w:szCs w:val="18"/>
                <w:lang w:val="fr-CA"/>
              </w:rPr>
              <w:t>contraintes excessives</w:t>
            </w:r>
            <w:r w:rsidR="00A67FA0">
              <w:rPr>
                <w:rFonts w:asciiTheme="majorHAnsi" w:eastAsiaTheme="majorEastAsia" w:hAnsiTheme="majorHAnsi" w:cstheme="majorBidi"/>
                <w:sz w:val="18"/>
                <w:szCs w:val="18"/>
                <w:lang w:val="fr-CA"/>
              </w:rPr>
              <w:t>/</w:t>
            </w:r>
            <w:r w:rsidRPr="00AD639F">
              <w:rPr>
                <w:rFonts w:asciiTheme="majorHAnsi" w:eastAsiaTheme="majorEastAsia" w:hAnsiTheme="majorHAnsi" w:cstheme="majorBidi"/>
                <w:sz w:val="18"/>
                <w:szCs w:val="18"/>
                <w:lang w:val="fr-CA"/>
              </w:rPr>
              <w:t>refus des demandes</w:t>
            </w:r>
          </w:p>
        </w:tc>
        <w:tc>
          <w:tcPr>
            <w:tcW w:w="2382" w:type="dxa"/>
          </w:tcPr>
          <w:p w14:paraId="3DE8F333" w14:textId="04C1BDD3" w:rsidR="000668E5" w:rsidRPr="00FC5743" w:rsidRDefault="00476390" w:rsidP="00511ECD">
            <w:pPr>
              <w:rPr>
                <w:rFonts w:asciiTheme="majorHAnsi" w:eastAsiaTheme="majorEastAsia" w:hAnsiTheme="majorHAnsi" w:cstheme="majorBidi"/>
                <w:sz w:val="18"/>
                <w:szCs w:val="18"/>
              </w:rPr>
            </w:pPr>
            <w:proofErr w:type="spellStart"/>
            <w:r>
              <w:rPr>
                <w:sz w:val="18"/>
                <w:szCs w:val="18"/>
              </w:rPr>
              <w:t>Personnes</w:t>
            </w:r>
            <w:proofErr w:type="spellEnd"/>
            <w:r>
              <w:rPr>
                <w:sz w:val="18"/>
                <w:szCs w:val="18"/>
              </w:rPr>
              <w:t xml:space="preserve">, culture et </w:t>
            </w:r>
            <w:proofErr w:type="spellStart"/>
            <w:r>
              <w:rPr>
                <w:sz w:val="18"/>
                <w:szCs w:val="18"/>
              </w:rPr>
              <w:t>appartenance</w:t>
            </w:r>
            <w:proofErr w:type="spellEnd"/>
          </w:p>
        </w:tc>
        <w:tc>
          <w:tcPr>
            <w:tcW w:w="985" w:type="dxa"/>
          </w:tcPr>
          <w:p w14:paraId="2CC6BFF9" w14:textId="355AFADD" w:rsidR="000668E5" w:rsidRPr="002749D8" w:rsidRDefault="000668E5" w:rsidP="00511ECD">
            <w:pPr>
              <w:rPr>
                <w:rFonts w:asciiTheme="majorHAnsi" w:eastAsiaTheme="majorEastAsia" w:hAnsiTheme="majorHAnsi" w:cstheme="majorBidi"/>
                <w:sz w:val="18"/>
                <w:szCs w:val="18"/>
                <w:lang w:val="fr-CA"/>
              </w:rPr>
            </w:pPr>
            <w:r w:rsidRPr="002749D8">
              <w:rPr>
                <w:rFonts w:asciiTheme="majorHAnsi" w:eastAsiaTheme="majorEastAsia" w:hAnsiTheme="majorHAnsi" w:cstheme="majorBidi"/>
                <w:sz w:val="18"/>
                <w:szCs w:val="18"/>
                <w:lang w:val="fr-CA"/>
              </w:rPr>
              <w:t>Jan</w:t>
            </w:r>
            <w:r w:rsidR="00476390" w:rsidRPr="002749D8">
              <w:rPr>
                <w:rFonts w:asciiTheme="majorHAnsi" w:eastAsiaTheme="majorEastAsia" w:hAnsiTheme="majorHAnsi" w:cstheme="majorBidi"/>
                <w:sz w:val="18"/>
                <w:szCs w:val="18"/>
                <w:lang w:val="fr-CA"/>
              </w:rPr>
              <w:t>vier</w:t>
            </w:r>
            <w:r w:rsidRPr="002749D8">
              <w:rPr>
                <w:rFonts w:asciiTheme="majorHAnsi" w:eastAsiaTheme="majorEastAsia" w:hAnsiTheme="majorHAnsi" w:cstheme="majorBidi"/>
                <w:sz w:val="18"/>
                <w:szCs w:val="18"/>
                <w:lang w:val="fr-CA"/>
              </w:rPr>
              <w:t xml:space="preserve"> 2016</w:t>
            </w:r>
          </w:p>
          <w:p w14:paraId="5FBF8221" w14:textId="77777777" w:rsidR="00596F0A" w:rsidRPr="002749D8" w:rsidRDefault="00596F0A" w:rsidP="00511ECD">
            <w:pPr>
              <w:rPr>
                <w:rFonts w:asciiTheme="majorHAnsi" w:eastAsiaTheme="majorEastAsia" w:hAnsiTheme="majorHAnsi" w:cstheme="majorBidi"/>
                <w:sz w:val="18"/>
                <w:szCs w:val="18"/>
                <w:lang w:val="fr-CA"/>
              </w:rPr>
            </w:pPr>
          </w:p>
          <w:p w14:paraId="2743F7D7" w14:textId="4935C6E8" w:rsidR="00E635E7" w:rsidRPr="002749D8" w:rsidRDefault="00476390" w:rsidP="00511ECD">
            <w:pPr>
              <w:rPr>
                <w:rFonts w:asciiTheme="majorHAnsi" w:eastAsiaTheme="majorEastAsia" w:hAnsiTheme="majorHAnsi" w:cstheme="majorBidi"/>
                <w:sz w:val="18"/>
                <w:szCs w:val="18"/>
                <w:lang w:val="fr-CA"/>
              </w:rPr>
            </w:pPr>
            <w:r w:rsidRPr="002749D8">
              <w:rPr>
                <w:rFonts w:asciiTheme="majorHAnsi" w:eastAsiaTheme="majorEastAsia" w:hAnsiTheme="majorHAnsi" w:cstheme="majorBidi"/>
                <w:sz w:val="18"/>
                <w:szCs w:val="18"/>
                <w:lang w:val="fr-CA"/>
              </w:rPr>
              <w:t>Révisé en nov.</w:t>
            </w:r>
            <w:r w:rsidR="00E635E7" w:rsidRPr="002749D8">
              <w:rPr>
                <w:rFonts w:asciiTheme="majorHAnsi" w:eastAsiaTheme="majorEastAsia" w:hAnsiTheme="majorHAnsi" w:cstheme="majorBidi"/>
                <w:sz w:val="18"/>
                <w:szCs w:val="18"/>
                <w:lang w:val="fr-CA"/>
              </w:rPr>
              <w:t xml:space="preserve"> 2016</w:t>
            </w:r>
          </w:p>
          <w:p w14:paraId="7587AFDF" w14:textId="77777777" w:rsidR="00596F0A" w:rsidRPr="002749D8" w:rsidRDefault="00596F0A" w:rsidP="00511ECD">
            <w:pPr>
              <w:rPr>
                <w:rFonts w:asciiTheme="majorHAnsi" w:eastAsiaTheme="majorEastAsia" w:hAnsiTheme="majorHAnsi" w:cstheme="majorBidi"/>
                <w:sz w:val="18"/>
                <w:szCs w:val="18"/>
                <w:lang w:val="fr-CA"/>
              </w:rPr>
            </w:pPr>
          </w:p>
          <w:p w14:paraId="5F98A374" w14:textId="3D989DEF" w:rsidR="00E635E7" w:rsidRPr="002749D8" w:rsidRDefault="00476390" w:rsidP="00511ECD">
            <w:pPr>
              <w:rPr>
                <w:rFonts w:asciiTheme="majorHAnsi" w:eastAsiaTheme="majorEastAsia" w:hAnsiTheme="majorHAnsi" w:cstheme="majorBidi"/>
                <w:sz w:val="18"/>
                <w:szCs w:val="18"/>
                <w:lang w:val="fr-CA"/>
              </w:rPr>
            </w:pPr>
            <w:r w:rsidRPr="002749D8">
              <w:rPr>
                <w:rFonts w:asciiTheme="majorHAnsi" w:eastAsiaTheme="majorEastAsia" w:hAnsiTheme="majorHAnsi" w:cstheme="majorBidi"/>
                <w:sz w:val="18"/>
                <w:szCs w:val="18"/>
                <w:lang w:val="fr-CA"/>
              </w:rPr>
              <w:t>Révisé en juin</w:t>
            </w:r>
            <w:r w:rsidR="00596F0A" w:rsidRPr="002749D8">
              <w:rPr>
                <w:rFonts w:asciiTheme="majorHAnsi" w:eastAsiaTheme="majorEastAsia" w:hAnsiTheme="majorHAnsi" w:cstheme="majorBidi"/>
                <w:sz w:val="18"/>
                <w:szCs w:val="18"/>
                <w:lang w:val="fr-CA"/>
              </w:rPr>
              <w:t xml:space="preserve"> </w:t>
            </w:r>
            <w:r w:rsidR="00E635E7" w:rsidRPr="002749D8">
              <w:rPr>
                <w:rFonts w:asciiTheme="majorHAnsi" w:eastAsiaTheme="majorEastAsia" w:hAnsiTheme="majorHAnsi" w:cstheme="majorBidi"/>
                <w:sz w:val="18"/>
                <w:szCs w:val="18"/>
                <w:lang w:val="fr-CA"/>
              </w:rPr>
              <w:t>2023</w:t>
            </w:r>
          </w:p>
        </w:tc>
        <w:tc>
          <w:tcPr>
            <w:tcW w:w="1004" w:type="dxa"/>
          </w:tcPr>
          <w:p w14:paraId="7DC37D77" w14:textId="75314EE2" w:rsidR="000668E5" w:rsidRPr="00FC5743" w:rsidRDefault="000668E5" w:rsidP="00511ECD">
            <w:pPr>
              <w:rPr>
                <w:rFonts w:asciiTheme="majorHAnsi" w:eastAsiaTheme="majorEastAsia" w:hAnsiTheme="majorHAnsi" w:cstheme="majorBidi"/>
                <w:sz w:val="18"/>
                <w:szCs w:val="18"/>
              </w:rPr>
            </w:pPr>
            <w:proofErr w:type="spellStart"/>
            <w:r w:rsidRPr="00FC5743">
              <w:rPr>
                <w:rFonts w:asciiTheme="majorHAnsi" w:eastAsiaTheme="majorEastAsia" w:hAnsiTheme="majorHAnsi" w:cstheme="majorBidi"/>
                <w:sz w:val="18"/>
                <w:szCs w:val="18"/>
              </w:rPr>
              <w:t>Complet</w:t>
            </w:r>
            <w:proofErr w:type="spellEnd"/>
          </w:p>
        </w:tc>
      </w:tr>
      <w:tr w:rsidR="000668E5" w14:paraId="4953280B" w14:textId="77777777" w:rsidTr="00E11B55">
        <w:tc>
          <w:tcPr>
            <w:tcW w:w="2300" w:type="dxa"/>
          </w:tcPr>
          <w:p w14:paraId="5EF40BCA" w14:textId="58C11641" w:rsidR="008929CA" w:rsidRPr="00FC5743" w:rsidRDefault="008929CA" w:rsidP="00511ECD">
            <w:pPr>
              <w:rPr>
                <w:rFonts w:asciiTheme="majorHAnsi" w:eastAsiaTheme="majorEastAsia" w:hAnsiTheme="majorHAnsi" w:cstheme="majorBidi"/>
                <w:sz w:val="18"/>
                <w:szCs w:val="18"/>
              </w:rPr>
            </w:pPr>
            <w:r w:rsidRPr="008929CA">
              <w:rPr>
                <w:rFonts w:asciiTheme="majorHAnsi" w:eastAsiaTheme="majorEastAsia" w:hAnsiTheme="majorHAnsi" w:cstheme="majorBidi"/>
                <w:sz w:val="18"/>
                <w:szCs w:val="18"/>
              </w:rPr>
              <w:lastRenderedPageBreak/>
              <w:t xml:space="preserve">Gestion </w:t>
            </w:r>
            <w:r w:rsidR="00707C41">
              <w:rPr>
                <w:rFonts w:asciiTheme="majorHAnsi" w:eastAsiaTheme="majorEastAsia" w:hAnsiTheme="majorHAnsi" w:cstheme="majorBidi"/>
                <w:sz w:val="18"/>
                <w:szCs w:val="18"/>
              </w:rPr>
              <w:t xml:space="preserve">du </w:t>
            </w:r>
            <w:proofErr w:type="spellStart"/>
            <w:r w:rsidR="00707C41">
              <w:rPr>
                <w:rFonts w:asciiTheme="majorHAnsi" w:eastAsiaTheme="majorEastAsia" w:hAnsiTheme="majorHAnsi" w:cstheme="majorBidi"/>
                <w:sz w:val="18"/>
                <w:szCs w:val="18"/>
              </w:rPr>
              <w:t>rendement</w:t>
            </w:r>
            <w:proofErr w:type="spellEnd"/>
          </w:p>
        </w:tc>
        <w:tc>
          <w:tcPr>
            <w:tcW w:w="4013" w:type="dxa"/>
          </w:tcPr>
          <w:p w14:paraId="53752EA1" w14:textId="3F3C2B60" w:rsidR="00AD639F" w:rsidRPr="00AD639F" w:rsidRDefault="00AD639F" w:rsidP="00511ECD">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Tenir compte des besoins d’accessibilité des employés handicapés dans les processus de gestion du rendement. Le document Personnes, culture et appartenance aide les superviseurs à intégrer les besoins d’accessibilité dans le processus de gestion du rendement.</w:t>
            </w:r>
          </w:p>
        </w:tc>
        <w:tc>
          <w:tcPr>
            <w:tcW w:w="2382" w:type="dxa"/>
          </w:tcPr>
          <w:p w14:paraId="518AC60E" w14:textId="10F0BED1" w:rsidR="000668E5" w:rsidRPr="00CB7F29" w:rsidRDefault="000668E5" w:rsidP="00511ECD">
            <w:pPr>
              <w:rPr>
                <w:rFonts w:asciiTheme="majorHAnsi" w:eastAsiaTheme="majorEastAsia" w:hAnsiTheme="majorHAnsi" w:cstheme="majorBidi"/>
                <w:sz w:val="18"/>
                <w:szCs w:val="18"/>
                <w:lang w:val="fr-CA"/>
              </w:rPr>
            </w:pPr>
            <w:r w:rsidRPr="00CB7F29">
              <w:rPr>
                <w:rFonts w:asciiTheme="majorHAnsi" w:eastAsiaTheme="majorEastAsia" w:hAnsiTheme="majorHAnsi" w:cstheme="majorBidi"/>
                <w:sz w:val="18"/>
                <w:szCs w:val="18"/>
                <w:lang w:val="fr-CA"/>
              </w:rPr>
              <w:t>Program</w:t>
            </w:r>
            <w:r w:rsidR="00CB7F29" w:rsidRPr="00CB7F29">
              <w:rPr>
                <w:rFonts w:asciiTheme="majorHAnsi" w:eastAsiaTheme="majorEastAsia" w:hAnsiTheme="majorHAnsi" w:cstheme="majorBidi"/>
                <w:sz w:val="18"/>
                <w:szCs w:val="18"/>
                <w:lang w:val="fr-CA"/>
              </w:rPr>
              <w:t>me</w:t>
            </w:r>
            <w:r w:rsidRPr="00CB7F29">
              <w:rPr>
                <w:rFonts w:asciiTheme="majorHAnsi" w:eastAsiaTheme="majorEastAsia" w:hAnsiTheme="majorHAnsi" w:cstheme="majorBidi"/>
                <w:sz w:val="18"/>
                <w:szCs w:val="18"/>
                <w:lang w:val="fr-CA"/>
              </w:rPr>
              <w:t>/Supervis</w:t>
            </w:r>
            <w:r w:rsidR="00CB7F29">
              <w:rPr>
                <w:rFonts w:asciiTheme="majorHAnsi" w:eastAsiaTheme="majorEastAsia" w:hAnsiTheme="majorHAnsi" w:cstheme="majorBidi"/>
                <w:sz w:val="18"/>
                <w:szCs w:val="18"/>
                <w:lang w:val="fr-CA"/>
              </w:rPr>
              <w:t>eur</w:t>
            </w:r>
            <w:r w:rsidRPr="00CB7F29">
              <w:rPr>
                <w:rFonts w:asciiTheme="majorHAnsi" w:eastAsiaTheme="majorEastAsia" w:hAnsiTheme="majorHAnsi" w:cstheme="majorBidi"/>
                <w:sz w:val="18"/>
                <w:szCs w:val="18"/>
                <w:lang w:val="fr-CA"/>
              </w:rPr>
              <w:t>/</w:t>
            </w:r>
            <w:r w:rsidR="00CB7F29">
              <w:rPr>
                <w:rFonts w:asciiTheme="majorHAnsi" w:eastAsiaTheme="majorEastAsia" w:hAnsiTheme="majorHAnsi" w:cstheme="majorBidi"/>
                <w:sz w:val="18"/>
                <w:szCs w:val="18"/>
                <w:lang w:val="fr-CA"/>
              </w:rPr>
              <w:t>Directeur</w:t>
            </w:r>
            <w:r w:rsidRPr="00CB7F29">
              <w:rPr>
                <w:rFonts w:asciiTheme="majorHAnsi" w:eastAsiaTheme="majorEastAsia" w:hAnsiTheme="majorHAnsi" w:cstheme="majorBidi"/>
                <w:sz w:val="18"/>
                <w:szCs w:val="18"/>
                <w:lang w:val="fr-CA"/>
              </w:rPr>
              <w:t xml:space="preserve"> </w:t>
            </w:r>
            <w:r w:rsidR="00CB7F29">
              <w:rPr>
                <w:rFonts w:asciiTheme="majorHAnsi" w:eastAsiaTheme="majorEastAsia" w:hAnsiTheme="majorHAnsi" w:cstheme="majorBidi"/>
                <w:sz w:val="18"/>
                <w:szCs w:val="18"/>
                <w:lang w:val="fr-CA"/>
              </w:rPr>
              <w:t>et</w:t>
            </w:r>
            <w:r w:rsidRPr="00CB7F29">
              <w:rPr>
                <w:rFonts w:asciiTheme="majorHAnsi" w:eastAsiaTheme="majorEastAsia" w:hAnsiTheme="majorHAnsi" w:cstheme="majorBidi"/>
                <w:sz w:val="18"/>
                <w:szCs w:val="18"/>
                <w:lang w:val="fr-CA"/>
              </w:rPr>
              <w:t xml:space="preserve"> </w:t>
            </w:r>
            <w:r w:rsidR="00476390" w:rsidRPr="00CB7F29">
              <w:rPr>
                <w:sz w:val="18"/>
                <w:szCs w:val="18"/>
                <w:lang w:val="fr-CA"/>
              </w:rPr>
              <w:t>Personnes, culture et appartenance</w:t>
            </w:r>
          </w:p>
        </w:tc>
        <w:tc>
          <w:tcPr>
            <w:tcW w:w="985" w:type="dxa"/>
          </w:tcPr>
          <w:p w14:paraId="53DCF2AF" w14:textId="55D4CD23" w:rsidR="000668E5" w:rsidRPr="00FC5743" w:rsidRDefault="000668E5"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2016</w:t>
            </w:r>
          </w:p>
        </w:tc>
        <w:tc>
          <w:tcPr>
            <w:tcW w:w="1004" w:type="dxa"/>
          </w:tcPr>
          <w:p w14:paraId="5E56F71E" w14:textId="0D81B8F3" w:rsidR="000668E5"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r w:rsidR="000668E5" w14:paraId="7D21EFA2" w14:textId="77777777" w:rsidTr="00E11B55">
        <w:tc>
          <w:tcPr>
            <w:tcW w:w="2300" w:type="dxa"/>
          </w:tcPr>
          <w:p w14:paraId="1634084A" w14:textId="2956CE71" w:rsidR="008929CA" w:rsidRPr="008929CA" w:rsidRDefault="008929CA" w:rsidP="00511ECD">
            <w:pPr>
              <w:rPr>
                <w:rFonts w:asciiTheme="majorHAnsi" w:eastAsiaTheme="majorEastAsia" w:hAnsiTheme="majorHAnsi" w:cstheme="majorBidi"/>
                <w:sz w:val="18"/>
                <w:szCs w:val="18"/>
                <w:lang w:val="fr-CA"/>
              </w:rPr>
            </w:pPr>
            <w:r w:rsidRPr="008929CA">
              <w:rPr>
                <w:rFonts w:asciiTheme="majorHAnsi" w:eastAsiaTheme="majorEastAsia" w:hAnsiTheme="majorHAnsi" w:cstheme="majorBidi"/>
                <w:sz w:val="18"/>
                <w:szCs w:val="18"/>
                <w:lang w:val="fr-CA"/>
              </w:rPr>
              <w:t>Développement de carrière et avancement</w:t>
            </w:r>
          </w:p>
        </w:tc>
        <w:tc>
          <w:tcPr>
            <w:tcW w:w="4013" w:type="dxa"/>
          </w:tcPr>
          <w:p w14:paraId="652EADA3" w14:textId="2612B283" w:rsidR="00AD639F" w:rsidRPr="00AD639F" w:rsidRDefault="00AD639F" w:rsidP="00511ECD">
            <w:pPr>
              <w:rPr>
                <w:rFonts w:asciiTheme="majorHAnsi" w:eastAsiaTheme="majorEastAsia" w:hAnsiTheme="majorHAnsi" w:cstheme="majorBidi"/>
                <w:sz w:val="18"/>
                <w:szCs w:val="18"/>
                <w:lang w:val="fr-CA"/>
              </w:rPr>
            </w:pPr>
            <w:r w:rsidRPr="00AD639F">
              <w:rPr>
                <w:rFonts w:asciiTheme="majorHAnsi" w:eastAsiaTheme="majorEastAsia" w:hAnsiTheme="majorHAnsi" w:cstheme="majorBidi"/>
                <w:sz w:val="18"/>
                <w:szCs w:val="18"/>
                <w:lang w:val="fr-CA"/>
              </w:rPr>
              <w:t>Les employés bénéficieront de possibilités de formation et de développement qui tiennent compte de leur handicap. Les employés seront mobilisés pour comprendre la meilleure façon de leur offrir des possibilités de formation et de développement.</w:t>
            </w:r>
          </w:p>
        </w:tc>
        <w:tc>
          <w:tcPr>
            <w:tcW w:w="2382" w:type="dxa"/>
          </w:tcPr>
          <w:p w14:paraId="4AC82D3E" w14:textId="34788FBF" w:rsidR="000668E5" w:rsidRPr="00CB7F29" w:rsidRDefault="00CB7F29" w:rsidP="00511ECD">
            <w:pPr>
              <w:rPr>
                <w:rFonts w:asciiTheme="majorHAnsi" w:eastAsiaTheme="majorEastAsia" w:hAnsiTheme="majorHAnsi" w:cstheme="majorBidi"/>
                <w:sz w:val="18"/>
                <w:szCs w:val="18"/>
                <w:lang w:val="fr-CA"/>
              </w:rPr>
            </w:pPr>
            <w:r w:rsidRPr="00CB7F29">
              <w:rPr>
                <w:rFonts w:asciiTheme="majorHAnsi" w:eastAsiaTheme="majorEastAsia" w:hAnsiTheme="majorHAnsi" w:cstheme="majorBidi"/>
                <w:sz w:val="18"/>
                <w:szCs w:val="18"/>
                <w:lang w:val="fr-CA"/>
              </w:rPr>
              <w:t>Programme/Supervis</w:t>
            </w:r>
            <w:r>
              <w:rPr>
                <w:rFonts w:asciiTheme="majorHAnsi" w:eastAsiaTheme="majorEastAsia" w:hAnsiTheme="majorHAnsi" w:cstheme="majorBidi"/>
                <w:sz w:val="18"/>
                <w:szCs w:val="18"/>
                <w:lang w:val="fr-CA"/>
              </w:rPr>
              <w:t>eur</w:t>
            </w:r>
            <w:r w:rsidRPr="00CB7F29">
              <w:rPr>
                <w:rFonts w:asciiTheme="majorHAnsi" w:eastAsiaTheme="majorEastAsia" w:hAnsiTheme="majorHAnsi" w:cstheme="majorBidi"/>
                <w:sz w:val="18"/>
                <w:szCs w:val="18"/>
                <w:lang w:val="fr-CA"/>
              </w:rPr>
              <w:t>/</w:t>
            </w:r>
            <w:r>
              <w:rPr>
                <w:rFonts w:asciiTheme="majorHAnsi" w:eastAsiaTheme="majorEastAsia" w:hAnsiTheme="majorHAnsi" w:cstheme="majorBidi"/>
                <w:sz w:val="18"/>
                <w:szCs w:val="18"/>
                <w:lang w:val="fr-CA"/>
              </w:rPr>
              <w:t>Directeur</w:t>
            </w:r>
            <w:r w:rsidRPr="00CB7F29">
              <w:rPr>
                <w:rFonts w:asciiTheme="majorHAnsi" w:eastAsiaTheme="majorEastAsia" w:hAnsiTheme="majorHAnsi" w:cstheme="majorBidi"/>
                <w:sz w:val="18"/>
                <w:szCs w:val="18"/>
                <w:lang w:val="fr-CA"/>
              </w:rPr>
              <w:t xml:space="preserve"> </w:t>
            </w:r>
            <w:r>
              <w:rPr>
                <w:rFonts w:asciiTheme="majorHAnsi" w:eastAsiaTheme="majorEastAsia" w:hAnsiTheme="majorHAnsi" w:cstheme="majorBidi"/>
                <w:sz w:val="18"/>
                <w:szCs w:val="18"/>
                <w:lang w:val="fr-CA"/>
              </w:rPr>
              <w:t>et</w:t>
            </w:r>
            <w:r w:rsidRPr="00CB7F29">
              <w:rPr>
                <w:rFonts w:asciiTheme="majorHAnsi" w:eastAsiaTheme="majorEastAsia" w:hAnsiTheme="majorHAnsi" w:cstheme="majorBidi"/>
                <w:sz w:val="18"/>
                <w:szCs w:val="18"/>
                <w:lang w:val="fr-CA"/>
              </w:rPr>
              <w:t xml:space="preserve"> </w:t>
            </w:r>
            <w:r w:rsidRPr="00CB7F29">
              <w:rPr>
                <w:sz w:val="18"/>
                <w:szCs w:val="18"/>
                <w:lang w:val="fr-CA"/>
              </w:rPr>
              <w:t>Personnes, culture et appartenance</w:t>
            </w:r>
          </w:p>
        </w:tc>
        <w:tc>
          <w:tcPr>
            <w:tcW w:w="985" w:type="dxa"/>
          </w:tcPr>
          <w:p w14:paraId="7C7C73FE" w14:textId="29299EAE" w:rsidR="000668E5" w:rsidRPr="00FC5743" w:rsidRDefault="000668E5"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2016</w:t>
            </w:r>
          </w:p>
        </w:tc>
        <w:tc>
          <w:tcPr>
            <w:tcW w:w="1004" w:type="dxa"/>
          </w:tcPr>
          <w:p w14:paraId="4D7ADA9F" w14:textId="6ECFB579" w:rsidR="000668E5" w:rsidRPr="00FC5743" w:rsidRDefault="00476390" w:rsidP="00511ECD">
            <w:pPr>
              <w:rPr>
                <w:rFonts w:asciiTheme="majorHAnsi" w:eastAsiaTheme="majorEastAsia" w:hAnsiTheme="majorHAnsi" w:cstheme="majorBidi"/>
                <w:sz w:val="18"/>
                <w:szCs w:val="18"/>
              </w:rPr>
            </w:pPr>
            <w:proofErr w:type="spellStart"/>
            <w:r>
              <w:rPr>
                <w:sz w:val="18"/>
                <w:szCs w:val="18"/>
              </w:rPr>
              <w:t>Complet</w:t>
            </w:r>
            <w:proofErr w:type="spellEnd"/>
            <w:r>
              <w:rPr>
                <w:sz w:val="18"/>
                <w:szCs w:val="18"/>
              </w:rPr>
              <w:t xml:space="preserve"> et </w:t>
            </w:r>
            <w:proofErr w:type="spellStart"/>
            <w:r>
              <w:rPr>
                <w:sz w:val="18"/>
                <w:szCs w:val="18"/>
              </w:rPr>
              <w:t>en</w:t>
            </w:r>
            <w:proofErr w:type="spellEnd"/>
            <w:r>
              <w:rPr>
                <w:sz w:val="18"/>
                <w:szCs w:val="18"/>
              </w:rPr>
              <w:t xml:space="preserve"> </w:t>
            </w:r>
            <w:proofErr w:type="spellStart"/>
            <w:r>
              <w:rPr>
                <w:sz w:val="18"/>
                <w:szCs w:val="18"/>
              </w:rPr>
              <w:t>cours</w:t>
            </w:r>
            <w:proofErr w:type="spellEnd"/>
          </w:p>
        </w:tc>
      </w:tr>
    </w:tbl>
    <w:p w14:paraId="19F30CF2" w14:textId="77777777" w:rsidR="00414DD7" w:rsidRPr="00705FFC" w:rsidRDefault="00414DD7" w:rsidP="00511ECD"/>
    <w:p w14:paraId="1C445364" w14:textId="66D0B963" w:rsidR="000668E5" w:rsidRPr="00087417" w:rsidRDefault="00087417" w:rsidP="00511ECD">
      <w:pPr>
        <w:pStyle w:val="Titre2"/>
        <w:rPr>
          <w:b/>
          <w:color w:val="auto"/>
          <w:lang w:val="fr-CA"/>
        </w:rPr>
      </w:pPr>
      <w:bookmarkStart w:id="8" w:name="_Toc185527857"/>
      <w:r w:rsidRPr="00087417">
        <w:rPr>
          <w:b/>
          <w:color w:val="auto"/>
          <w:lang w:val="fr-CA"/>
        </w:rPr>
        <w:t>Partie</w:t>
      </w:r>
      <w:r w:rsidR="00A67FA0">
        <w:rPr>
          <w:b/>
          <w:color w:val="auto"/>
          <w:lang w:val="fr-CA"/>
        </w:rPr>
        <w:t> </w:t>
      </w:r>
      <w:r w:rsidRPr="00087417">
        <w:rPr>
          <w:b/>
          <w:color w:val="auto"/>
          <w:lang w:val="fr-CA"/>
        </w:rPr>
        <w:t xml:space="preserve">4 </w:t>
      </w:r>
      <w:r w:rsidR="00A67FA0">
        <w:rPr>
          <w:b/>
          <w:color w:val="auto"/>
          <w:lang w:val="fr-CA"/>
        </w:rPr>
        <w:t>—</w:t>
      </w:r>
      <w:r w:rsidRPr="00087417">
        <w:rPr>
          <w:b/>
          <w:color w:val="auto"/>
          <w:lang w:val="fr-CA"/>
        </w:rPr>
        <w:t xml:space="preserve"> Conception des espaces publics</w:t>
      </w:r>
      <w:bookmarkEnd w:id="8"/>
    </w:p>
    <w:tbl>
      <w:tblPr>
        <w:tblStyle w:val="Grilledutableau"/>
        <w:tblW w:w="10627" w:type="dxa"/>
        <w:tblLook w:val="04A0" w:firstRow="1" w:lastRow="0" w:firstColumn="1" w:lastColumn="0" w:noHBand="0" w:noVBand="1"/>
      </w:tblPr>
      <w:tblGrid>
        <w:gridCol w:w="2956"/>
        <w:gridCol w:w="3778"/>
        <w:gridCol w:w="1687"/>
        <w:gridCol w:w="1080"/>
        <w:gridCol w:w="1126"/>
      </w:tblGrid>
      <w:tr w:rsidR="00E11B55" w14:paraId="75346D02" w14:textId="77777777" w:rsidTr="00AF0E1C">
        <w:tc>
          <w:tcPr>
            <w:tcW w:w="2956" w:type="dxa"/>
            <w:shd w:val="clear" w:color="auto" w:fill="FBE4D5" w:themeFill="accent2" w:themeFillTint="33"/>
          </w:tcPr>
          <w:p w14:paraId="043FF501" w14:textId="158102FD" w:rsidR="00E11B55" w:rsidRPr="00032EDA" w:rsidRDefault="00E11B55" w:rsidP="00E11B55">
            <w:pPr>
              <w:rPr>
                <w:sz w:val="18"/>
                <w:szCs w:val="18"/>
              </w:rPr>
            </w:pPr>
            <w:r w:rsidRPr="00320A86">
              <w:rPr>
                <w:sz w:val="18"/>
                <w:szCs w:val="18"/>
                <w:lang w:val="fr-CA"/>
              </w:rPr>
              <w:t>Exigences en matière d</w:t>
            </w:r>
            <w:r>
              <w:rPr>
                <w:sz w:val="18"/>
                <w:szCs w:val="18"/>
                <w:lang w:val="fr-CA"/>
              </w:rPr>
              <w:t>’</w:t>
            </w:r>
            <w:r w:rsidRPr="00320A86">
              <w:rPr>
                <w:sz w:val="18"/>
                <w:szCs w:val="18"/>
                <w:lang w:val="fr-CA"/>
              </w:rPr>
              <w:t>accessibilité</w:t>
            </w:r>
          </w:p>
        </w:tc>
        <w:tc>
          <w:tcPr>
            <w:tcW w:w="3778" w:type="dxa"/>
            <w:shd w:val="clear" w:color="auto" w:fill="FBE4D5" w:themeFill="accent2" w:themeFillTint="33"/>
          </w:tcPr>
          <w:p w14:paraId="24A6DA64" w14:textId="206B8D4D" w:rsidR="00E11B55" w:rsidRPr="00032EDA" w:rsidRDefault="00E11B55" w:rsidP="00E11B55">
            <w:pPr>
              <w:rPr>
                <w:sz w:val="18"/>
                <w:szCs w:val="18"/>
              </w:rPr>
            </w:pPr>
            <w:proofErr w:type="spellStart"/>
            <w:r>
              <w:rPr>
                <w:sz w:val="18"/>
                <w:szCs w:val="18"/>
              </w:rPr>
              <w:t>Commentaires</w:t>
            </w:r>
            <w:proofErr w:type="spellEnd"/>
            <w:r>
              <w:rPr>
                <w:sz w:val="18"/>
                <w:szCs w:val="18"/>
              </w:rPr>
              <w:t>/</w:t>
            </w:r>
            <w:proofErr w:type="spellStart"/>
            <w:r>
              <w:rPr>
                <w:sz w:val="18"/>
                <w:szCs w:val="18"/>
              </w:rPr>
              <w:t>Stratégie</w:t>
            </w:r>
            <w:proofErr w:type="spellEnd"/>
          </w:p>
        </w:tc>
        <w:tc>
          <w:tcPr>
            <w:tcW w:w="1687" w:type="dxa"/>
            <w:shd w:val="clear" w:color="auto" w:fill="FBE4D5" w:themeFill="accent2" w:themeFillTint="33"/>
          </w:tcPr>
          <w:p w14:paraId="3014FC8E" w14:textId="1C08F9FE" w:rsidR="00E11B55" w:rsidRPr="00032EDA" w:rsidRDefault="00E11B55" w:rsidP="00E11B55">
            <w:pPr>
              <w:rPr>
                <w:sz w:val="18"/>
                <w:szCs w:val="18"/>
              </w:rPr>
            </w:pPr>
            <w:proofErr w:type="spellStart"/>
            <w:r>
              <w:rPr>
                <w:sz w:val="18"/>
                <w:szCs w:val="18"/>
              </w:rPr>
              <w:t>Responsable</w:t>
            </w:r>
            <w:proofErr w:type="spellEnd"/>
          </w:p>
        </w:tc>
        <w:tc>
          <w:tcPr>
            <w:tcW w:w="1080" w:type="dxa"/>
            <w:shd w:val="clear" w:color="auto" w:fill="FBE4D5" w:themeFill="accent2" w:themeFillTint="33"/>
          </w:tcPr>
          <w:p w14:paraId="30299F57" w14:textId="7238AF38" w:rsidR="00E11B55" w:rsidRPr="00032EDA" w:rsidRDefault="00E11B55" w:rsidP="00E11B55">
            <w:pPr>
              <w:rPr>
                <w:sz w:val="18"/>
                <w:szCs w:val="18"/>
              </w:rPr>
            </w:pPr>
            <w:r>
              <w:rPr>
                <w:sz w:val="18"/>
                <w:szCs w:val="18"/>
              </w:rPr>
              <w:t xml:space="preserve">Date </w:t>
            </w:r>
            <w:proofErr w:type="spellStart"/>
            <w:r>
              <w:rPr>
                <w:sz w:val="18"/>
                <w:szCs w:val="18"/>
              </w:rPr>
              <w:t>limite</w:t>
            </w:r>
            <w:proofErr w:type="spellEnd"/>
          </w:p>
        </w:tc>
        <w:tc>
          <w:tcPr>
            <w:tcW w:w="1126" w:type="dxa"/>
            <w:shd w:val="clear" w:color="auto" w:fill="FBE4D5" w:themeFill="accent2" w:themeFillTint="33"/>
          </w:tcPr>
          <w:p w14:paraId="47D29895" w14:textId="331559FD" w:rsidR="00E11B55" w:rsidRPr="00032EDA" w:rsidRDefault="00E11B55" w:rsidP="00E11B55">
            <w:pPr>
              <w:rPr>
                <w:sz w:val="18"/>
                <w:szCs w:val="18"/>
              </w:rPr>
            </w:pPr>
            <w:proofErr w:type="spellStart"/>
            <w:r w:rsidRPr="00032EDA">
              <w:rPr>
                <w:sz w:val="18"/>
                <w:szCs w:val="18"/>
              </w:rPr>
              <w:t>Statu</w:t>
            </w:r>
            <w:r>
              <w:rPr>
                <w:sz w:val="18"/>
                <w:szCs w:val="18"/>
              </w:rPr>
              <w:t>t</w:t>
            </w:r>
            <w:proofErr w:type="spellEnd"/>
          </w:p>
        </w:tc>
      </w:tr>
      <w:tr w:rsidR="000668E5" w14:paraId="6A2AD4E9" w14:textId="77777777" w:rsidTr="00AF0E1C">
        <w:tc>
          <w:tcPr>
            <w:tcW w:w="2956" w:type="dxa"/>
          </w:tcPr>
          <w:p w14:paraId="2B5655DB" w14:textId="69CD02F4"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Répondre aux exigences d</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accessibilité lors de la construction et de l</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entretien d</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éléments nouveaux ou réaménagés d</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espaces publics, notamment</w:t>
            </w:r>
            <w:r w:rsidR="00A67FA0">
              <w:rPr>
                <w:rFonts w:asciiTheme="majorHAnsi" w:eastAsiaTheme="majorEastAsia" w:hAnsiTheme="majorHAnsi" w:cstheme="majorBidi"/>
                <w:sz w:val="18"/>
                <w:szCs w:val="18"/>
                <w:lang w:val="fr-CA"/>
              </w:rPr>
              <w:t> </w:t>
            </w:r>
            <w:r w:rsidRPr="00C07EAC">
              <w:rPr>
                <w:rFonts w:asciiTheme="majorHAnsi" w:eastAsiaTheme="majorEastAsia" w:hAnsiTheme="majorHAnsi" w:cstheme="majorBidi"/>
                <w:sz w:val="18"/>
                <w:szCs w:val="18"/>
                <w:lang w:val="fr-CA"/>
              </w:rPr>
              <w:t>:</w:t>
            </w:r>
          </w:p>
          <w:p w14:paraId="2A286C7B" w14:textId="0520281A"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Sentiers récréatifs et voies d</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accès aux plages</w:t>
            </w:r>
          </w:p>
          <w:p w14:paraId="052C9147" w14:textId="77777777" w:rsidR="00816FA7"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xml:space="preserve">• Aires de restauration extérieures à usage public </w:t>
            </w:r>
          </w:p>
          <w:p w14:paraId="6BD66DD1" w14:textId="3DAF3261"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Espaces de jeu extérieurs (tels que terrains de jeux)</w:t>
            </w:r>
          </w:p>
          <w:p w14:paraId="1C3FE18A" w14:textId="77777777"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Voies de déplacement extérieures (telles que passerelles traversant des parcs ou entre des bâtiments)</w:t>
            </w:r>
          </w:p>
          <w:p w14:paraId="59BC334A" w14:textId="77777777"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Stationnement accessible sur et hors rue</w:t>
            </w:r>
          </w:p>
          <w:p w14:paraId="0F4A3F75" w14:textId="07BB17DA" w:rsidR="00816FA7"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Comptoirs de service et zones d</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 xml:space="preserve">attente </w:t>
            </w:r>
          </w:p>
          <w:p w14:paraId="6DD6A5F2" w14:textId="68EE9C62" w:rsidR="00C07EAC" w:rsidRPr="00C07EAC" w:rsidRDefault="00C07EAC" w:rsidP="00C07EAC">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 Planification de l</w:t>
            </w:r>
            <w:r w:rsidR="00816FA7">
              <w:rPr>
                <w:rFonts w:asciiTheme="majorHAnsi" w:eastAsiaTheme="majorEastAsia" w:hAnsiTheme="majorHAnsi" w:cstheme="majorBidi"/>
                <w:sz w:val="18"/>
                <w:szCs w:val="18"/>
                <w:lang w:val="fr-CA"/>
              </w:rPr>
              <w:t>’</w:t>
            </w:r>
            <w:r w:rsidRPr="00C07EAC">
              <w:rPr>
                <w:rFonts w:asciiTheme="majorHAnsi" w:eastAsiaTheme="majorEastAsia" w:hAnsiTheme="majorHAnsi" w:cstheme="majorBidi"/>
                <w:sz w:val="18"/>
                <w:szCs w:val="18"/>
                <w:lang w:val="fr-CA"/>
              </w:rPr>
              <w:t>entretien</w:t>
            </w:r>
          </w:p>
        </w:tc>
        <w:tc>
          <w:tcPr>
            <w:tcW w:w="3778" w:type="dxa"/>
          </w:tcPr>
          <w:p w14:paraId="2BABFBF1" w14:textId="77777777" w:rsidR="00C07EAC" w:rsidRPr="00AD7067" w:rsidRDefault="00C07EAC" w:rsidP="00511ECD">
            <w:pPr>
              <w:rPr>
                <w:rFonts w:asciiTheme="majorHAnsi" w:eastAsiaTheme="majorEastAsia" w:hAnsiTheme="majorHAnsi" w:cstheme="majorBidi"/>
                <w:sz w:val="18"/>
                <w:szCs w:val="18"/>
                <w:lang w:val="fr-CA"/>
              </w:rPr>
            </w:pPr>
          </w:p>
          <w:p w14:paraId="5EA922FB" w14:textId="403892BD" w:rsidR="00C07EAC" w:rsidRPr="00C07EAC" w:rsidRDefault="00C07EAC" w:rsidP="00511ECD">
            <w:pPr>
              <w:rPr>
                <w:rFonts w:asciiTheme="majorHAnsi" w:eastAsiaTheme="majorEastAsia" w:hAnsiTheme="majorHAnsi" w:cstheme="majorBidi"/>
                <w:sz w:val="18"/>
                <w:szCs w:val="18"/>
                <w:lang w:val="fr-CA"/>
              </w:rPr>
            </w:pPr>
            <w:r w:rsidRPr="00C07EAC">
              <w:rPr>
                <w:rFonts w:asciiTheme="majorHAnsi" w:eastAsiaTheme="majorEastAsia" w:hAnsiTheme="majorHAnsi" w:cstheme="majorBidi"/>
                <w:sz w:val="18"/>
                <w:szCs w:val="18"/>
                <w:lang w:val="fr-CA"/>
              </w:rPr>
              <w:t>Veiller à ce que toute nouvelle construction ou tout réaménagement des propriétés du BSJ réponde aux exigences d’accessibilité décrites dans les Normes d’accessibilité pour l’environnement bâti. Veiller à ce que lorsque des espaces publics désignés «</w:t>
            </w:r>
            <w:r w:rsidR="00A67FA0">
              <w:rPr>
                <w:rFonts w:asciiTheme="majorHAnsi" w:eastAsiaTheme="majorEastAsia" w:hAnsiTheme="majorHAnsi" w:cstheme="majorBidi"/>
                <w:sz w:val="18"/>
                <w:szCs w:val="18"/>
                <w:lang w:val="fr-CA"/>
              </w:rPr>
              <w:t> </w:t>
            </w:r>
            <w:r w:rsidRPr="00C07EAC">
              <w:rPr>
                <w:rFonts w:asciiTheme="majorHAnsi" w:eastAsiaTheme="majorEastAsia" w:hAnsiTheme="majorHAnsi" w:cstheme="majorBidi"/>
                <w:sz w:val="18"/>
                <w:szCs w:val="18"/>
                <w:lang w:val="fr-CA"/>
              </w:rPr>
              <w:t>accessibles</w:t>
            </w:r>
            <w:r w:rsidR="00A67FA0">
              <w:rPr>
                <w:rFonts w:asciiTheme="majorHAnsi" w:eastAsiaTheme="majorEastAsia" w:hAnsiTheme="majorHAnsi" w:cstheme="majorBidi"/>
                <w:sz w:val="18"/>
                <w:szCs w:val="18"/>
                <w:lang w:val="fr-CA"/>
              </w:rPr>
              <w:t> </w:t>
            </w:r>
            <w:r w:rsidRPr="00C07EAC">
              <w:rPr>
                <w:rFonts w:asciiTheme="majorHAnsi" w:eastAsiaTheme="majorEastAsia" w:hAnsiTheme="majorHAnsi" w:cstheme="majorBidi"/>
                <w:sz w:val="18"/>
                <w:szCs w:val="18"/>
                <w:lang w:val="fr-CA"/>
              </w:rPr>
              <w:t>», y compris des places de stationnement accessibles, sont en cours de construction ou d’entretien et ne sont pas disponibles, le public en soit informé en affichant des avis appropriés et en proposant d’autres options au public et aux employés.</w:t>
            </w:r>
          </w:p>
        </w:tc>
        <w:tc>
          <w:tcPr>
            <w:tcW w:w="1687" w:type="dxa"/>
          </w:tcPr>
          <w:p w14:paraId="19AFF0F2" w14:textId="5DC4C11F" w:rsidR="000668E5" w:rsidRPr="00FC5743" w:rsidRDefault="000668E5"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Program</w:t>
            </w:r>
            <w:r w:rsidR="00CB7F29">
              <w:rPr>
                <w:rFonts w:asciiTheme="majorHAnsi" w:eastAsiaTheme="majorEastAsia" w:hAnsiTheme="majorHAnsi" w:cstheme="majorBidi"/>
                <w:sz w:val="18"/>
                <w:szCs w:val="18"/>
              </w:rPr>
              <w:t>me</w:t>
            </w:r>
            <w:r w:rsidRPr="00FC5743">
              <w:rPr>
                <w:rFonts w:asciiTheme="majorHAnsi" w:eastAsiaTheme="majorEastAsia" w:hAnsiTheme="majorHAnsi" w:cstheme="majorBidi"/>
                <w:sz w:val="18"/>
                <w:szCs w:val="18"/>
              </w:rPr>
              <w:t xml:space="preserve">s, </w:t>
            </w:r>
            <w:r w:rsidR="00816FA7">
              <w:rPr>
                <w:rFonts w:asciiTheme="majorHAnsi" w:eastAsiaTheme="majorEastAsia" w:hAnsiTheme="majorHAnsi" w:cstheme="majorBidi"/>
                <w:sz w:val="18"/>
                <w:szCs w:val="18"/>
              </w:rPr>
              <w:t>Entretien</w:t>
            </w:r>
          </w:p>
        </w:tc>
        <w:tc>
          <w:tcPr>
            <w:tcW w:w="1080" w:type="dxa"/>
          </w:tcPr>
          <w:p w14:paraId="0DBB2DC3" w14:textId="2CAA84AE" w:rsidR="000668E5" w:rsidRPr="00FC5743" w:rsidRDefault="000668E5" w:rsidP="00511ECD">
            <w:pPr>
              <w:rPr>
                <w:rFonts w:asciiTheme="majorHAnsi" w:eastAsiaTheme="majorEastAsia" w:hAnsiTheme="majorHAnsi" w:cstheme="majorBidi"/>
                <w:sz w:val="18"/>
                <w:szCs w:val="18"/>
              </w:rPr>
            </w:pPr>
            <w:r w:rsidRPr="00FC5743">
              <w:rPr>
                <w:rFonts w:asciiTheme="majorHAnsi" w:eastAsiaTheme="majorEastAsia" w:hAnsiTheme="majorHAnsi" w:cstheme="majorBidi"/>
                <w:sz w:val="18"/>
                <w:szCs w:val="18"/>
              </w:rPr>
              <w:t>Jan</w:t>
            </w:r>
            <w:r w:rsidR="00476390">
              <w:rPr>
                <w:rFonts w:asciiTheme="majorHAnsi" w:eastAsiaTheme="majorEastAsia" w:hAnsiTheme="majorHAnsi" w:cstheme="majorBidi"/>
                <w:sz w:val="18"/>
                <w:szCs w:val="18"/>
              </w:rPr>
              <w:t>vier</w:t>
            </w:r>
            <w:r w:rsidRPr="00FC5743">
              <w:rPr>
                <w:rFonts w:asciiTheme="majorHAnsi" w:eastAsiaTheme="majorEastAsia" w:hAnsiTheme="majorHAnsi" w:cstheme="majorBidi"/>
                <w:sz w:val="18"/>
                <w:szCs w:val="18"/>
              </w:rPr>
              <w:t xml:space="preserve"> 2017</w:t>
            </w:r>
          </w:p>
          <w:p w14:paraId="60D74E01" w14:textId="77777777" w:rsidR="000668E5" w:rsidRPr="00705FFC" w:rsidRDefault="000668E5" w:rsidP="00511ECD">
            <w:pPr>
              <w:rPr>
                <w:rFonts w:asciiTheme="majorHAnsi" w:eastAsiaTheme="majorEastAsia" w:hAnsiTheme="majorHAnsi" w:cstheme="majorBidi"/>
                <w:sz w:val="18"/>
                <w:szCs w:val="18"/>
              </w:rPr>
            </w:pPr>
          </w:p>
          <w:p w14:paraId="3ED87719" w14:textId="77777777" w:rsidR="000668E5" w:rsidRPr="00705FFC" w:rsidRDefault="000668E5" w:rsidP="00511ECD">
            <w:pPr>
              <w:rPr>
                <w:rFonts w:asciiTheme="majorHAnsi" w:eastAsiaTheme="majorEastAsia" w:hAnsiTheme="majorHAnsi" w:cstheme="majorBidi"/>
                <w:sz w:val="18"/>
                <w:szCs w:val="18"/>
              </w:rPr>
            </w:pPr>
          </w:p>
          <w:p w14:paraId="115DC1CB" w14:textId="77777777" w:rsidR="000668E5" w:rsidRPr="00705FFC" w:rsidRDefault="000668E5" w:rsidP="00511ECD">
            <w:pPr>
              <w:rPr>
                <w:rFonts w:asciiTheme="majorHAnsi" w:eastAsiaTheme="majorEastAsia" w:hAnsiTheme="majorHAnsi" w:cstheme="majorBidi"/>
                <w:sz w:val="18"/>
                <w:szCs w:val="18"/>
              </w:rPr>
            </w:pPr>
          </w:p>
          <w:p w14:paraId="54E035B4" w14:textId="77777777" w:rsidR="000668E5" w:rsidRPr="00705FFC" w:rsidRDefault="000668E5" w:rsidP="00511ECD">
            <w:pPr>
              <w:rPr>
                <w:rFonts w:asciiTheme="majorHAnsi" w:eastAsiaTheme="majorEastAsia" w:hAnsiTheme="majorHAnsi" w:cstheme="majorBidi"/>
                <w:sz w:val="18"/>
                <w:szCs w:val="18"/>
              </w:rPr>
            </w:pPr>
          </w:p>
          <w:p w14:paraId="387913A2" w14:textId="77777777" w:rsidR="000668E5" w:rsidRPr="00705FFC" w:rsidRDefault="000668E5" w:rsidP="00511ECD">
            <w:pPr>
              <w:rPr>
                <w:rFonts w:asciiTheme="majorHAnsi" w:eastAsiaTheme="majorEastAsia" w:hAnsiTheme="majorHAnsi" w:cstheme="majorBidi"/>
                <w:sz w:val="18"/>
                <w:szCs w:val="18"/>
              </w:rPr>
            </w:pPr>
          </w:p>
          <w:p w14:paraId="17F2EE25" w14:textId="77777777" w:rsidR="000668E5" w:rsidRPr="00705FFC" w:rsidRDefault="000668E5" w:rsidP="00511ECD">
            <w:pPr>
              <w:rPr>
                <w:rFonts w:asciiTheme="majorHAnsi" w:eastAsiaTheme="majorEastAsia" w:hAnsiTheme="majorHAnsi" w:cstheme="majorBidi"/>
                <w:sz w:val="18"/>
                <w:szCs w:val="18"/>
              </w:rPr>
            </w:pPr>
          </w:p>
          <w:p w14:paraId="5DA6AF12" w14:textId="77777777" w:rsidR="000668E5" w:rsidRPr="00705FFC" w:rsidRDefault="000668E5" w:rsidP="00511ECD">
            <w:pPr>
              <w:rPr>
                <w:rFonts w:asciiTheme="majorHAnsi" w:eastAsiaTheme="majorEastAsia" w:hAnsiTheme="majorHAnsi" w:cstheme="majorBidi"/>
                <w:sz w:val="18"/>
                <w:szCs w:val="18"/>
              </w:rPr>
            </w:pPr>
          </w:p>
        </w:tc>
        <w:tc>
          <w:tcPr>
            <w:tcW w:w="1126" w:type="dxa"/>
          </w:tcPr>
          <w:p w14:paraId="5E973721" w14:textId="08F426F0" w:rsidR="000668E5" w:rsidRPr="00705FFC" w:rsidRDefault="00476390" w:rsidP="00511ECD">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En </w:t>
            </w:r>
            <w:proofErr w:type="spellStart"/>
            <w:r>
              <w:rPr>
                <w:rFonts w:asciiTheme="majorHAnsi" w:eastAsiaTheme="majorEastAsia" w:hAnsiTheme="majorHAnsi" w:cstheme="majorBidi"/>
                <w:sz w:val="18"/>
                <w:szCs w:val="18"/>
              </w:rPr>
              <w:t>cours</w:t>
            </w:r>
            <w:proofErr w:type="spellEnd"/>
          </w:p>
        </w:tc>
      </w:tr>
    </w:tbl>
    <w:p w14:paraId="0836EC61" w14:textId="77777777" w:rsidR="000668E5" w:rsidRDefault="000668E5" w:rsidP="00511ECD"/>
    <w:p w14:paraId="3E16F0C6" w14:textId="77777777" w:rsidR="000668E5" w:rsidRDefault="000668E5" w:rsidP="00511ECD"/>
    <w:p w14:paraId="111FA3DD" w14:textId="77777777" w:rsidR="000668E5" w:rsidRDefault="000668E5" w:rsidP="00511ECD">
      <w:r>
        <w:br w:type="page"/>
      </w:r>
    </w:p>
    <w:p w14:paraId="05DE1727" w14:textId="20687309" w:rsidR="000668E5" w:rsidRPr="0002017E" w:rsidRDefault="0002017E" w:rsidP="00511ECD">
      <w:pPr>
        <w:pStyle w:val="Titre2"/>
        <w:rPr>
          <w:b/>
          <w:color w:val="auto"/>
          <w:lang w:val="fr-CA"/>
        </w:rPr>
      </w:pPr>
      <w:bookmarkStart w:id="9" w:name="_Toc185527858"/>
      <w:r w:rsidRPr="0002017E">
        <w:rPr>
          <w:b/>
          <w:color w:val="auto"/>
          <w:lang w:val="fr-CA"/>
        </w:rPr>
        <w:lastRenderedPageBreak/>
        <w:t>Partie</w:t>
      </w:r>
      <w:r w:rsidR="00A67FA0">
        <w:rPr>
          <w:b/>
          <w:color w:val="auto"/>
          <w:lang w:val="fr-CA"/>
        </w:rPr>
        <w:t> </w:t>
      </w:r>
      <w:r w:rsidRPr="0002017E">
        <w:rPr>
          <w:b/>
          <w:color w:val="auto"/>
          <w:lang w:val="fr-CA"/>
        </w:rPr>
        <w:t xml:space="preserve">5 </w:t>
      </w:r>
      <w:r w:rsidR="00A67FA0">
        <w:rPr>
          <w:b/>
          <w:color w:val="auto"/>
          <w:lang w:val="fr-CA"/>
        </w:rPr>
        <w:t>—</w:t>
      </w:r>
      <w:r w:rsidRPr="0002017E">
        <w:rPr>
          <w:b/>
          <w:color w:val="auto"/>
          <w:lang w:val="fr-CA"/>
        </w:rPr>
        <w:t xml:space="preserve"> Obstacles à l’accessibilité identifiés par le client, le grand public ou les employés</w:t>
      </w:r>
      <w:bookmarkEnd w:id="9"/>
    </w:p>
    <w:tbl>
      <w:tblPr>
        <w:tblStyle w:val="Grilledutableau"/>
        <w:tblW w:w="10627" w:type="dxa"/>
        <w:tblLook w:val="04A0" w:firstRow="1" w:lastRow="0" w:firstColumn="1" w:lastColumn="0" w:noHBand="0" w:noVBand="1"/>
      </w:tblPr>
      <w:tblGrid>
        <w:gridCol w:w="2956"/>
        <w:gridCol w:w="3778"/>
        <w:gridCol w:w="1687"/>
        <w:gridCol w:w="1080"/>
        <w:gridCol w:w="1126"/>
      </w:tblGrid>
      <w:tr w:rsidR="00E11B55" w14:paraId="667F7118" w14:textId="77777777" w:rsidTr="00AF0E1C">
        <w:tc>
          <w:tcPr>
            <w:tcW w:w="2956" w:type="dxa"/>
            <w:shd w:val="clear" w:color="auto" w:fill="FBE4D5" w:themeFill="accent2" w:themeFillTint="33"/>
          </w:tcPr>
          <w:p w14:paraId="342AD9AF" w14:textId="61D53C78" w:rsidR="00E11B55" w:rsidRPr="00032EDA" w:rsidRDefault="00E11B55" w:rsidP="00E11B55">
            <w:pPr>
              <w:rPr>
                <w:sz w:val="18"/>
                <w:szCs w:val="18"/>
              </w:rPr>
            </w:pPr>
            <w:r w:rsidRPr="00320A86">
              <w:rPr>
                <w:sz w:val="18"/>
                <w:szCs w:val="18"/>
                <w:lang w:val="fr-CA"/>
              </w:rPr>
              <w:t>Exigences en matière d</w:t>
            </w:r>
            <w:r>
              <w:rPr>
                <w:sz w:val="18"/>
                <w:szCs w:val="18"/>
                <w:lang w:val="fr-CA"/>
              </w:rPr>
              <w:t>’</w:t>
            </w:r>
            <w:r w:rsidRPr="00320A86">
              <w:rPr>
                <w:sz w:val="18"/>
                <w:szCs w:val="18"/>
                <w:lang w:val="fr-CA"/>
              </w:rPr>
              <w:t>accessibilité</w:t>
            </w:r>
          </w:p>
        </w:tc>
        <w:tc>
          <w:tcPr>
            <w:tcW w:w="3778" w:type="dxa"/>
            <w:shd w:val="clear" w:color="auto" w:fill="FBE4D5" w:themeFill="accent2" w:themeFillTint="33"/>
          </w:tcPr>
          <w:p w14:paraId="6AEDCFFC" w14:textId="0AE90E06" w:rsidR="00E11B55" w:rsidRPr="00032EDA" w:rsidRDefault="00E11B55" w:rsidP="00E11B55">
            <w:pPr>
              <w:rPr>
                <w:sz w:val="18"/>
                <w:szCs w:val="18"/>
              </w:rPr>
            </w:pPr>
            <w:proofErr w:type="spellStart"/>
            <w:r>
              <w:rPr>
                <w:sz w:val="18"/>
                <w:szCs w:val="18"/>
              </w:rPr>
              <w:t>Commentaires</w:t>
            </w:r>
            <w:proofErr w:type="spellEnd"/>
            <w:r>
              <w:rPr>
                <w:sz w:val="18"/>
                <w:szCs w:val="18"/>
              </w:rPr>
              <w:t>/</w:t>
            </w:r>
            <w:proofErr w:type="spellStart"/>
            <w:r>
              <w:rPr>
                <w:sz w:val="18"/>
                <w:szCs w:val="18"/>
              </w:rPr>
              <w:t>Stratégie</w:t>
            </w:r>
            <w:proofErr w:type="spellEnd"/>
          </w:p>
        </w:tc>
        <w:tc>
          <w:tcPr>
            <w:tcW w:w="1687" w:type="dxa"/>
            <w:shd w:val="clear" w:color="auto" w:fill="FBE4D5" w:themeFill="accent2" w:themeFillTint="33"/>
          </w:tcPr>
          <w:p w14:paraId="4050E657" w14:textId="09184F6F" w:rsidR="00E11B55" w:rsidRPr="00032EDA" w:rsidRDefault="00E11B55" w:rsidP="00E11B55">
            <w:pPr>
              <w:rPr>
                <w:sz w:val="18"/>
                <w:szCs w:val="18"/>
              </w:rPr>
            </w:pPr>
            <w:proofErr w:type="spellStart"/>
            <w:r>
              <w:rPr>
                <w:sz w:val="18"/>
                <w:szCs w:val="18"/>
              </w:rPr>
              <w:t>Responsable</w:t>
            </w:r>
            <w:proofErr w:type="spellEnd"/>
          </w:p>
        </w:tc>
        <w:tc>
          <w:tcPr>
            <w:tcW w:w="1080" w:type="dxa"/>
            <w:shd w:val="clear" w:color="auto" w:fill="FBE4D5" w:themeFill="accent2" w:themeFillTint="33"/>
          </w:tcPr>
          <w:p w14:paraId="7AA171BE" w14:textId="59D9EF9D" w:rsidR="00E11B55" w:rsidRPr="00032EDA" w:rsidRDefault="00E11B55" w:rsidP="00E11B55">
            <w:pPr>
              <w:rPr>
                <w:sz w:val="18"/>
                <w:szCs w:val="18"/>
              </w:rPr>
            </w:pPr>
            <w:r>
              <w:rPr>
                <w:sz w:val="18"/>
                <w:szCs w:val="18"/>
              </w:rPr>
              <w:t xml:space="preserve">Date </w:t>
            </w:r>
            <w:proofErr w:type="spellStart"/>
            <w:r>
              <w:rPr>
                <w:sz w:val="18"/>
                <w:szCs w:val="18"/>
              </w:rPr>
              <w:t>limite</w:t>
            </w:r>
            <w:proofErr w:type="spellEnd"/>
          </w:p>
        </w:tc>
        <w:tc>
          <w:tcPr>
            <w:tcW w:w="1126" w:type="dxa"/>
            <w:shd w:val="clear" w:color="auto" w:fill="FBE4D5" w:themeFill="accent2" w:themeFillTint="33"/>
          </w:tcPr>
          <w:p w14:paraId="1E957392" w14:textId="21F835BF" w:rsidR="00E11B55" w:rsidRPr="00032EDA" w:rsidRDefault="00E11B55" w:rsidP="00E11B55">
            <w:pPr>
              <w:rPr>
                <w:sz w:val="18"/>
                <w:szCs w:val="18"/>
              </w:rPr>
            </w:pPr>
            <w:proofErr w:type="spellStart"/>
            <w:r w:rsidRPr="00032EDA">
              <w:rPr>
                <w:sz w:val="18"/>
                <w:szCs w:val="18"/>
              </w:rPr>
              <w:t>Statu</w:t>
            </w:r>
            <w:r>
              <w:rPr>
                <w:sz w:val="18"/>
                <w:szCs w:val="18"/>
              </w:rPr>
              <w:t>t</w:t>
            </w:r>
            <w:proofErr w:type="spellEnd"/>
          </w:p>
        </w:tc>
      </w:tr>
      <w:tr w:rsidR="000668E5" w14:paraId="7038B6A4" w14:textId="77777777" w:rsidTr="00AF0E1C">
        <w:tc>
          <w:tcPr>
            <w:tcW w:w="2956" w:type="dxa"/>
          </w:tcPr>
          <w:p w14:paraId="42228361" w14:textId="4BE8F56C" w:rsidR="000668E5" w:rsidRPr="00705FFC" w:rsidRDefault="00E60228" w:rsidP="00511ECD">
            <w:pPr>
              <w:rPr>
                <w:rFonts w:cstheme="minorHAnsi"/>
                <w:sz w:val="18"/>
                <w:szCs w:val="18"/>
              </w:rPr>
            </w:pPr>
            <w:r w:rsidRPr="00E60228">
              <w:rPr>
                <w:sz w:val="18"/>
                <w:szCs w:val="18"/>
              </w:rPr>
              <w:t xml:space="preserve">Suppression des obstacles </w:t>
            </w:r>
            <w:proofErr w:type="spellStart"/>
            <w:r w:rsidRPr="00E60228">
              <w:rPr>
                <w:sz w:val="18"/>
                <w:szCs w:val="18"/>
              </w:rPr>
              <w:t>identifiés</w:t>
            </w:r>
            <w:proofErr w:type="spellEnd"/>
          </w:p>
        </w:tc>
        <w:tc>
          <w:tcPr>
            <w:tcW w:w="3778" w:type="dxa"/>
          </w:tcPr>
          <w:p w14:paraId="4116FC07" w14:textId="3F474BAA" w:rsidR="00E60228" w:rsidRPr="00E60228" w:rsidRDefault="00E60228" w:rsidP="00511ECD">
            <w:pPr>
              <w:rPr>
                <w:rFonts w:asciiTheme="majorHAnsi" w:eastAsiaTheme="majorEastAsia" w:hAnsiTheme="majorHAnsi" w:cstheme="majorBidi"/>
                <w:sz w:val="18"/>
                <w:szCs w:val="18"/>
                <w:lang w:val="fr-CA"/>
              </w:rPr>
            </w:pPr>
            <w:r w:rsidRPr="00E60228">
              <w:rPr>
                <w:rFonts w:asciiTheme="majorHAnsi" w:eastAsiaTheme="majorEastAsia" w:hAnsiTheme="majorHAnsi" w:cstheme="majorBidi"/>
                <w:sz w:val="18"/>
                <w:szCs w:val="18"/>
                <w:lang w:val="fr-CA"/>
              </w:rPr>
              <w:t xml:space="preserve">Le </w:t>
            </w:r>
            <w:r>
              <w:rPr>
                <w:rFonts w:asciiTheme="majorHAnsi" w:eastAsiaTheme="majorEastAsia" w:hAnsiTheme="majorHAnsi" w:cstheme="majorBidi"/>
                <w:sz w:val="18"/>
                <w:szCs w:val="18"/>
                <w:lang w:val="fr-CA"/>
              </w:rPr>
              <w:t>BSJ</w:t>
            </w:r>
            <w:r w:rsidRPr="00E60228">
              <w:rPr>
                <w:rFonts w:asciiTheme="majorHAnsi" w:eastAsiaTheme="majorEastAsia" w:hAnsiTheme="majorHAnsi" w:cstheme="majorBidi"/>
                <w:sz w:val="18"/>
                <w:szCs w:val="18"/>
                <w:lang w:val="fr-CA"/>
              </w:rPr>
              <w:t xml:space="preserve"> examinera tout obstacle porté à notre attention par un employé, un client ou un membre du public et, en consultation avec la personne qui soulève la préoccupation, prendra des mesures pour éliminer l’obstacle ou réduire son impact sur la personne.</w:t>
            </w:r>
          </w:p>
        </w:tc>
        <w:tc>
          <w:tcPr>
            <w:tcW w:w="1687" w:type="dxa"/>
          </w:tcPr>
          <w:p w14:paraId="29CF5F94" w14:textId="2E379C0F" w:rsidR="000668E5" w:rsidRPr="00536506" w:rsidRDefault="00CB7F29" w:rsidP="00511ECD">
            <w:pPr>
              <w:rPr>
                <w:rFonts w:asciiTheme="majorHAnsi" w:hAnsiTheme="majorHAnsi" w:cstheme="majorBidi"/>
                <w:color w:val="FF0000"/>
                <w:sz w:val="18"/>
                <w:szCs w:val="18"/>
              </w:rPr>
            </w:pPr>
            <w:r w:rsidRPr="00CB7F29">
              <w:rPr>
                <w:sz w:val="18"/>
                <w:szCs w:val="18"/>
                <w:lang w:val="fr-CA"/>
              </w:rPr>
              <w:t>Personnes, culture et appartenance</w:t>
            </w:r>
          </w:p>
        </w:tc>
        <w:tc>
          <w:tcPr>
            <w:tcW w:w="1080" w:type="dxa"/>
          </w:tcPr>
          <w:p w14:paraId="13926BBD" w14:textId="68968C6E" w:rsidR="000668E5" w:rsidRPr="00FD3DBF" w:rsidRDefault="000668E5" w:rsidP="00511ECD">
            <w:pPr>
              <w:rPr>
                <w:rFonts w:asciiTheme="majorHAnsi" w:hAnsiTheme="majorHAnsi" w:cstheme="majorBidi"/>
                <w:sz w:val="18"/>
                <w:szCs w:val="18"/>
              </w:rPr>
            </w:pPr>
            <w:r w:rsidRPr="00FD3DBF">
              <w:rPr>
                <w:rFonts w:asciiTheme="majorHAnsi" w:hAnsiTheme="majorHAnsi" w:cstheme="majorBidi"/>
                <w:sz w:val="18"/>
                <w:szCs w:val="18"/>
              </w:rPr>
              <w:t>Jan</w:t>
            </w:r>
            <w:r w:rsidR="00476390">
              <w:rPr>
                <w:rFonts w:asciiTheme="majorHAnsi" w:hAnsiTheme="majorHAnsi" w:cstheme="majorBidi"/>
                <w:sz w:val="18"/>
                <w:szCs w:val="18"/>
              </w:rPr>
              <w:t>vier</w:t>
            </w:r>
            <w:r w:rsidRPr="00FD3DBF">
              <w:rPr>
                <w:rFonts w:asciiTheme="majorHAnsi" w:hAnsiTheme="majorHAnsi" w:cstheme="majorBidi"/>
                <w:sz w:val="18"/>
                <w:szCs w:val="18"/>
              </w:rPr>
              <w:t xml:space="preserve"> 201</w:t>
            </w:r>
            <w:r w:rsidRPr="00FD3DBF">
              <w:rPr>
                <w:sz w:val="18"/>
                <w:szCs w:val="18"/>
              </w:rPr>
              <w:t>7</w:t>
            </w:r>
          </w:p>
          <w:p w14:paraId="733BE343" w14:textId="77777777" w:rsidR="000668E5" w:rsidRPr="00536506" w:rsidRDefault="000668E5" w:rsidP="00511ECD">
            <w:pPr>
              <w:rPr>
                <w:rFonts w:asciiTheme="majorHAnsi" w:eastAsiaTheme="majorEastAsia" w:hAnsiTheme="majorHAnsi" w:cstheme="majorBidi"/>
                <w:color w:val="FF0000"/>
                <w:sz w:val="18"/>
                <w:szCs w:val="18"/>
              </w:rPr>
            </w:pPr>
          </w:p>
          <w:p w14:paraId="5B8A649E" w14:textId="77777777" w:rsidR="000668E5" w:rsidRPr="00536506" w:rsidRDefault="000668E5" w:rsidP="00511ECD">
            <w:pPr>
              <w:rPr>
                <w:rFonts w:asciiTheme="majorHAnsi" w:eastAsiaTheme="majorEastAsia" w:hAnsiTheme="majorHAnsi" w:cstheme="majorBidi"/>
                <w:color w:val="FF0000"/>
                <w:sz w:val="18"/>
                <w:szCs w:val="18"/>
              </w:rPr>
            </w:pPr>
          </w:p>
          <w:p w14:paraId="6742F529" w14:textId="77777777" w:rsidR="000668E5" w:rsidRPr="00536506" w:rsidRDefault="000668E5" w:rsidP="00511ECD">
            <w:pPr>
              <w:rPr>
                <w:rFonts w:asciiTheme="majorHAnsi" w:eastAsiaTheme="majorEastAsia" w:hAnsiTheme="majorHAnsi" w:cstheme="majorBidi"/>
                <w:color w:val="FF0000"/>
                <w:sz w:val="18"/>
                <w:szCs w:val="18"/>
              </w:rPr>
            </w:pPr>
          </w:p>
          <w:p w14:paraId="0EC41817" w14:textId="77777777" w:rsidR="000668E5" w:rsidRPr="00536506" w:rsidRDefault="000668E5" w:rsidP="00511ECD">
            <w:pPr>
              <w:rPr>
                <w:rFonts w:asciiTheme="majorHAnsi" w:eastAsiaTheme="majorEastAsia" w:hAnsiTheme="majorHAnsi" w:cstheme="majorBidi"/>
                <w:color w:val="FF0000"/>
                <w:sz w:val="18"/>
                <w:szCs w:val="18"/>
              </w:rPr>
            </w:pPr>
          </w:p>
          <w:p w14:paraId="13DCD6F1" w14:textId="77777777" w:rsidR="000668E5" w:rsidRPr="00536506" w:rsidRDefault="000668E5" w:rsidP="00511ECD">
            <w:pPr>
              <w:rPr>
                <w:rFonts w:asciiTheme="majorHAnsi" w:eastAsiaTheme="majorEastAsia" w:hAnsiTheme="majorHAnsi" w:cstheme="majorBidi"/>
                <w:color w:val="FF0000"/>
                <w:sz w:val="18"/>
                <w:szCs w:val="18"/>
              </w:rPr>
            </w:pPr>
          </w:p>
          <w:p w14:paraId="1A2E91F4" w14:textId="77777777" w:rsidR="000668E5" w:rsidRPr="00536506" w:rsidRDefault="000668E5" w:rsidP="00511ECD">
            <w:pPr>
              <w:rPr>
                <w:rFonts w:asciiTheme="majorHAnsi" w:eastAsiaTheme="majorEastAsia" w:hAnsiTheme="majorHAnsi" w:cstheme="majorBidi"/>
                <w:color w:val="FF0000"/>
                <w:sz w:val="18"/>
                <w:szCs w:val="18"/>
              </w:rPr>
            </w:pPr>
          </w:p>
          <w:p w14:paraId="07A1EC2D" w14:textId="77777777" w:rsidR="000668E5" w:rsidRPr="00536506" w:rsidRDefault="000668E5" w:rsidP="00511ECD">
            <w:pPr>
              <w:rPr>
                <w:rFonts w:asciiTheme="majorHAnsi" w:eastAsiaTheme="majorEastAsia" w:hAnsiTheme="majorHAnsi" w:cstheme="majorBidi"/>
                <w:color w:val="FF0000"/>
                <w:sz w:val="18"/>
                <w:szCs w:val="18"/>
              </w:rPr>
            </w:pPr>
          </w:p>
        </w:tc>
        <w:tc>
          <w:tcPr>
            <w:tcW w:w="1126" w:type="dxa"/>
          </w:tcPr>
          <w:p w14:paraId="69EE261B" w14:textId="05A1001D" w:rsidR="000668E5" w:rsidRPr="00705FFC" w:rsidRDefault="00476390" w:rsidP="00511ECD">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En </w:t>
            </w:r>
            <w:proofErr w:type="spellStart"/>
            <w:r>
              <w:rPr>
                <w:rFonts w:asciiTheme="majorHAnsi" w:eastAsiaTheme="majorEastAsia" w:hAnsiTheme="majorHAnsi" w:cstheme="majorBidi"/>
                <w:sz w:val="18"/>
                <w:szCs w:val="18"/>
              </w:rPr>
              <w:t>cours</w:t>
            </w:r>
            <w:proofErr w:type="spellEnd"/>
          </w:p>
        </w:tc>
      </w:tr>
    </w:tbl>
    <w:p w14:paraId="4AC3B3CE" w14:textId="77777777" w:rsidR="00536506" w:rsidRDefault="00536506" w:rsidP="00511ECD"/>
    <w:p w14:paraId="50D5B3FC" w14:textId="376B1659" w:rsidR="00C97E1F" w:rsidRPr="00511ECD" w:rsidRDefault="00C97E1F" w:rsidP="002A4700">
      <w:pPr>
        <w:pStyle w:val="Titre2"/>
        <w:rPr>
          <w:b/>
          <w:color w:val="auto"/>
        </w:rPr>
      </w:pPr>
      <w:bookmarkStart w:id="10" w:name="_Toc185527859"/>
      <w:r w:rsidRPr="00511ECD">
        <w:rPr>
          <w:b/>
          <w:color w:val="auto"/>
        </w:rPr>
        <w:t>Conclusion</w:t>
      </w:r>
      <w:bookmarkEnd w:id="10"/>
      <w:r w:rsidRPr="00511ECD">
        <w:rPr>
          <w:b/>
          <w:color w:val="auto"/>
        </w:rPr>
        <w:t xml:space="preserve"> </w:t>
      </w:r>
    </w:p>
    <w:p w14:paraId="3166B5B2" w14:textId="018B9330" w:rsidR="00C97E1F" w:rsidRPr="00FA66D9" w:rsidRDefault="00FA66D9" w:rsidP="002A4700">
      <w:pPr>
        <w:rPr>
          <w:lang w:val="fr-CA"/>
        </w:rPr>
      </w:pPr>
      <w:r w:rsidRPr="00FA66D9">
        <w:rPr>
          <w:lang w:val="fr-CA"/>
        </w:rPr>
        <w:t>Le BSJ s’engage à prévenir, identifier et éliminer les obstacles à l’accessibilité. Pour atteindre cet objectif, le BSJ examinera régulièrement ses politiques et ses plans afin de s’assurer que nous continuons à respecter nos objectifs, nos engagements et nos exigences législatives. Tous les commentaires reçus au cours de l’année concernant l’accessibilité seront évalués. Ces renseignements nous permettront d’améliorer continuellement nos processus. Si nous apprenons à tout moment qu’un changement ou une modification est nécessaire à notre plan pluriannuel, une révision sera apportée en conséquence et sera disponible sur notre site Web.</w:t>
      </w:r>
      <w:r w:rsidR="00C97E1F" w:rsidRPr="00FA66D9">
        <w:rPr>
          <w:lang w:val="fr-CA"/>
        </w:rPr>
        <w:t xml:space="preserve">  </w:t>
      </w:r>
    </w:p>
    <w:p w14:paraId="4C553DC3" w14:textId="77777777" w:rsidR="00C97E1F" w:rsidRPr="00FA66D9" w:rsidRDefault="00C97E1F" w:rsidP="002A4700">
      <w:pPr>
        <w:rPr>
          <w:lang w:val="fr-CA"/>
        </w:rPr>
      </w:pPr>
    </w:p>
    <w:p w14:paraId="7D2F4258" w14:textId="1A20CDE0" w:rsidR="00C97E1F" w:rsidRPr="00AD7067" w:rsidRDefault="0002017E" w:rsidP="002A4700">
      <w:pPr>
        <w:pStyle w:val="Titre2"/>
        <w:rPr>
          <w:b/>
          <w:color w:val="auto"/>
          <w:lang w:val="fr-CA"/>
        </w:rPr>
      </w:pPr>
      <w:bookmarkStart w:id="11" w:name="_Toc185527860"/>
      <w:r w:rsidRPr="00AD7067">
        <w:rPr>
          <w:b/>
          <w:color w:val="auto"/>
          <w:lang w:val="fr-CA"/>
        </w:rPr>
        <w:t>Coordonnées</w:t>
      </w:r>
      <w:bookmarkEnd w:id="11"/>
    </w:p>
    <w:p w14:paraId="3C8D52F2" w14:textId="6100978A" w:rsidR="00FA66D9" w:rsidRPr="00FA66D9" w:rsidRDefault="00FA66D9" w:rsidP="002A4700">
      <w:pPr>
        <w:rPr>
          <w:lang w:val="fr-CA"/>
        </w:rPr>
      </w:pPr>
      <w:r w:rsidRPr="00FA66D9">
        <w:rPr>
          <w:lang w:val="fr-CA"/>
        </w:rPr>
        <w:t>Pour plus d</w:t>
      </w:r>
      <w:r w:rsidR="005D1475">
        <w:rPr>
          <w:lang w:val="fr-CA"/>
        </w:rPr>
        <w:t>’</w:t>
      </w:r>
      <w:r w:rsidRPr="00FA66D9">
        <w:rPr>
          <w:lang w:val="fr-CA"/>
        </w:rPr>
        <w:t>informations sur ce plan d</w:t>
      </w:r>
      <w:r w:rsidR="005D1475">
        <w:rPr>
          <w:lang w:val="fr-CA"/>
        </w:rPr>
        <w:t>’</w:t>
      </w:r>
      <w:r w:rsidRPr="00FA66D9">
        <w:rPr>
          <w:lang w:val="fr-CA"/>
        </w:rPr>
        <w:t xml:space="preserve">accessibilité, </w:t>
      </w:r>
      <w:r w:rsidR="005D1475">
        <w:rPr>
          <w:lang w:val="fr-CA"/>
        </w:rPr>
        <w:t>faites parvenir un courriel à</w:t>
      </w:r>
      <w:r w:rsidR="00A67FA0">
        <w:rPr>
          <w:lang w:val="fr-CA"/>
        </w:rPr>
        <w:t> </w:t>
      </w:r>
      <w:r w:rsidRPr="00FA66D9">
        <w:rPr>
          <w:lang w:val="fr-CA"/>
        </w:rPr>
        <w:t>: accessibility@ysb.ca. Des formats accessibles de ce document sont disponibles sur demande.</w:t>
      </w:r>
    </w:p>
    <w:p w14:paraId="6BF8D296" w14:textId="1071E74E" w:rsidR="00FA66D9" w:rsidRPr="00FA66D9" w:rsidRDefault="00FA66D9" w:rsidP="00FA66D9">
      <w:pPr>
        <w:rPr>
          <w:lang w:val="fr-CA"/>
        </w:rPr>
      </w:pPr>
      <w:r w:rsidRPr="00FA66D9">
        <w:rPr>
          <w:lang w:val="fr-CA"/>
        </w:rPr>
        <w:t>Notre plan d</w:t>
      </w:r>
      <w:r w:rsidR="005D1475">
        <w:rPr>
          <w:lang w:val="fr-CA"/>
        </w:rPr>
        <w:t>’</w:t>
      </w:r>
      <w:r w:rsidRPr="00FA66D9">
        <w:rPr>
          <w:lang w:val="fr-CA"/>
        </w:rPr>
        <w:t>accessibilité est affiché sur le site</w:t>
      </w:r>
      <w:r w:rsidR="005D1475">
        <w:rPr>
          <w:lang w:val="fr-CA"/>
        </w:rPr>
        <w:t xml:space="preserve"> du BSJ :</w:t>
      </w:r>
      <w:r w:rsidRPr="00FA66D9">
        <w:rPr>
          <w:lang w:val="fr-CA"/>
        </w:rPr>
        <w:t xml:space="preserve"> </w:t>
      </w:r>
      <w:hyperlink r:id="rId8" w:history="1">
        <w:r w:rsidR="00A71B89" w:rsidRPr="00EA323B">
          <w:rPr>
            <w:rStyle w:val="Lienhypertexte"/>
            <w:lang w:val="fr-CA"/>
          </w:rPr>
          <w:t>https://www.ysb.ca/fr/</w:t>
        </w:r>
      </w:hyperlink>
      <w:r w:rsidR="00A71B89">
        <w:rPr>
          <w:lang w:val="fr-CA"/>
        </w:rPr>
        <w:t xml:space="preserve"> </w:t>
      </w:r>
    </w:p>
    <w:sectPr w:rsidR="00FA66D9" w:rsidRPr="00FA66D9" w:rsidSect="00CE151B">
      <w:pgSz w:w="12240" w:h="15840"/>
      <w:pgMar w:top="709" w:right="90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8E750" w14:textId="77777777" w:rsidR="00AD7067" w:rsidRDefault="00AD7067" w:rsidP="00AD7067">
      <w:pPr>
        <w:spacing w:after="0" w:line="240" w:lineRule="auto"/>
      </w:pPr>
      <w:r>
        <w:separator/>
      </w:r>
    </w:p>
  </w:endnote>
  <w:endnote w:type="continuationSeparator" w:id="0">
    <w:p w14:paraId="1CF2350F" w14:textId="77777777" w:rsidR="00AD7067" w:rsidRDefault="00AD7067" w:rsidP="00AD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3AAC4" w14:textId="77777777" w:rsidR="00AD7067" w:rsidRDefault="00AD7067" w:rsidP="00AD7067">
      <w:pPr>
        <w:spacing w:after="0" w:line="240" w:lineRule="auto"/>
      </w:pPr>
      <w:r>
        <w:separator/>
      </w:r>
    </w:p>
  </w:footnote>
  <w:footnote w:type="continuationSeparator" w:id="0">
    <w:p w14:paraId="712F7AC2" w14:textId="77777777" w:rsidR="00AD7067" w:rsidRDefault="00AD7067" w:rsidP="00AD7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EA6DAE"/>
    <w:multiLevelType w:val="hybridMultilevel"/>
    <w:tmpl w:val="F9E8D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64B41597"/>
    <w:multiLevelType w:val="hybridMultilevel"/>
    <w:tmpl w:val="D1AC4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F487775"/>
    <w:multiLevelType w:val="hybridMultilevel"/>
    <w:tmpl w:val="0D34FC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41011954">
    <w:abstractNumId w:val="1"/>
  </w:num>
  <w:num w:numId="2" w16cid:durableId="688919083">
    <w:abstractNumId w:val="0"/>
  </w:num>
  <w:num w:numId="3" w16cid:durableId="885872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02"/>
    <w:rsid w:val="0002017E"/>
    <w:rsid w:val="00032EDA"/>
    <w:rsid w:val="000668E5"/>
    <w:rsid w:val="0007493C"/>
    <w:rsid w:val="00087417"/>
    <w:rsid w:val="000A4541"/>
    <w:rsid w:val="001634B9"/>
    <w:rsid w:val="001B25C0"/>
    <w:rsid w:val="00267345"/>
    <w:rsid w:val="00270F39"/>
    <w:rsid w:val="002749D8"/>
    <w:rsid w:val="00293487"/>
    <w:rsid w:val="002A4700"/>
    <w:rsid w:val="002C1566"/>
    <w:rsid w:val="002D7A97"/>
    <w:rsid w:val="00305BD0"/>
    <w:rsid w:val="00320A86"/>
    <w:rsid w:val="0039474E"/>
    <w:rsid w:val="003B1F61"/>
    <w:rsid w:val="003B2382"/>
    <w:rsid w:val="003B7071"/>
    <w:rsid w:val="003D2C21"/>
    <w:rsid w:val="003E545C"/>
    <w:rsid w:val="00414DD7"/>
    <w:rsid w:val="00424543"/>
    <w:rsid w:val="00476390"/>
    <w:rsid w:val="00511ECD"/>
    <w:rsid w:val="005224F8"/>
    <w:rsid w:val="00536506"/>
    <w:rsid w:val="005537A1"/>
    <w:rsid w:val="00596F0A"/>
    <w:rsid w:val="005D1475"/>
    <w:rsid w:val="005E6B6A"/>
    <w:rsid w:val="00603FA4"/>
    <w:rsid w:val="00676F58"/>
    <w:rsid w:val="00697AA2"/>
    <w:rsid w:val="006F2DCF"/>
    <w:rsid w:val="0070033F"/>
    <w:rsid w:val="00705FFC"/>
    <w:rsid w:val="00707C41"/>
    <w:rsid w:val="00755F5F"/>
    <w:rsid w:val="007D6CED"/>
    <w:rsid w:val="00804C5C"/>
    <w:rsid w:val="00816FA7"/>
    <w:rsid w:val="00823775"/>
    <w:rsid w:val="0084031E"/>
    <w:rsid w:val="00885D6A"/>
    <w:rsid w:val="008929CA"/>
    <w:rsid w:val="00896181"/>
    <w:rsid w:val="008B0C77"/>
    <w:rsid w:val="008B0F4B"/>
    <w:rsid w:val="00941B14"/>
    <w:rsid w:val="009767E9"/>
    <w:rsid w:val="009800EC"/>
    <w:rsid w:val="00991070"/>
    <w:rsid w:val="0099345B"/>
    <w:rsid w:val="00994026"/>
    <w:rsid w:val="00995FF7"/>
    <w:rsid w:val="009E7436"/>
    <w:rsid w:val="00A1247E"/>
    <w:rsid w:val="00A15B11"/>
    <w:rsid w:val="00A17A10"/>
    <w:rsid w:val="00A2089F"/>
    <w:rsid w:val="00A67FA0"/>
    <w:rsid w:val="00A71B89"/>
    <w:rsid w:val="00AB698F"/>
    <w:rsid w:val="00AD639F"/>
    <w:rsid w:val="00AD7067"/>
    <w:rsid w:val="00AE139E"/>
    <w:rsid w:val="00B505A6"/>
    <w:rsid w:val="00B54542"/>
    <w:rsid w:val="00B83579"/>
    <w:rsid w:val="00BB31CB"/>
    <w:rsid w:val="00BD55F4"/>
    <w:rsid w:val="00BE0ACB"/>
    <w:rsid w:val="00C07EAC"/>
    <w:rsid w:val="00C119C9"/>
    <w:rsid w:val="00C14E63"/>
    <w:rsid w:val="00C366B3"/>
    <w:rsid w:val="00C97E1F"/>
    <w:rsid w:val="00CB7F29"/>
    <w:rsid w:val="00CE151B"/>
    <w:rsid w:val="00D30361"/>
    <w:rsid w:val="00D34D31"/>
    <w:rsid w:val="00D51FED"/>
    <w:rsid w:val="00D75F06"/>
    <w:rsid w:val="00D83602"/>
    <w:rsid w:val="00DD0A55"/>
    <w:rsid w:val="00DD3031"/>
    <w:rsid w:val="00DD40A5"/>
    <w:rsid w:val="00E11B55"/>
    <w:rsid w:val="00E17146"/>
    <w:rsid w:val="00E22559"/>
    <w:rsid w:val="00E50F39"/>
    <w:rsid w:val="00E60228"/>
    <w:rsid w:val="00E635E7"/>
    <w:rsid w:val="00E73197"/>
    <w:rsid w:val="00E819C5"/>
    <w:rsid w:val="00EA7701"/>
    <w:rsid w:val="00EB01D5"/>
    <w:rsid w:val="00EB1362"/>
    <w:rsid w:val="00F42B18"/>
    <w:rsid w:val="00F75133"/>
    <w:rsid w:val="00FA1A25"/>
    <w:rsid w:val="00FA66D9"/>
    <w:rsid w:val="00FB2608"/>
    <w:rsid w:val="00FC5743"/>
    <w:rsid w:val="00FD3D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0848"/>
  <w15:chartTrackingRefBased/>
  <w15:docId w15:val="{43797F98-7E1B-41A5-94E7-6F14471D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E15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55F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E151B"/>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CE151B"/>
    <w:pPr>
      <w:outlineLvl w:val="9"/>
    </w:pPr>
    <w:rPr>
      <w:lang w:val="en-US"/>
    </w:rPr>
  </w:style>
  <w:style w:type="character" w:customStyle="1" w:styleId="Titre2Car">
    <w:name w:val="Titre 2 Car"/>
    <w:basedOn w:val="Policepardfaut"/>
    <w:link w:val="Titre2"/>
    <w:uiPriority w:val="9"/>
    <w:rsid w:val="00755F5F"/>
    <w:rPr>
      <w:rFonts w:asciiTheme="majorHAnsi" w:eastAsiaTheme="majorEastAsia" w:hAnsiTheme="majorHAnsi" w:cstheme="majorBidi"/>
      <w:color w:val="2F5496" w:themeColor="accent1" w:themeShade="BF"/>
      <w:sz w:val="26"/>
      <w:szCs w:val="26"/>
    </w:rPr>
  </w:style>
  <w:style w:type="paragraph" w:styleId="TM2">
    <w:name w:val="toc 2"/>
    <w:basedOn w:val="Normal"/>
    <w:next w:val="Normal"/>
    <w:autoRedefine/>
    <w:uiPriority w:val="39"/>
    <w:unhideWhenUsed/>
    <w:rsid w:val="00755F5F"/>
    <w:pPr>
      <w:spacing w:after="100"/>
      <w:ind w:left="220"/>
    </w:pPr>
  </w:style>
  <w:style w:type="character" w:styleId="Lienhypertexte">
    <w:name w:val="Hyperlink"/>
    <w:basedOn w:val="Policepardfaut"/>
    <w:uiPriority w:val="99"/>
    <w:unhideWhenUsed/>
    <w:rsid w:val="00755F5F"/>
    <w:rPr>
      <w:color w:val="0563C1" w:themeColor="hyperlink"/>
      <w:u w:val="single"/>
    </w:rPr>
  </w:style>
  <w:style w:type="table" w:styleId="Grilledutableau">
    <w:name w:val="Table Grid"/>
    <w:basedOn w:val="TableauNormal"/>
    <w:uiPriority w:val="39"/>
    <w:rsid w:val="0003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4DD7"/>
    <w:pPr>
      <w:ind w:left="720"/>
      <w:contextualSpacing/>
    </w:pPr>
  </w:style>
  <w:style w:type="paragraph" w:styleId="TM1">
    <w:name w:val="toc 1"/>
    <w:basedOn w:val="Normal"/>
    <w:next w:val="Normal"/>
    <w:autoRedefine/>
    <w:uiPriority w:val="39"/>
    <w:unhideWhenUsed/>
    <w:rsid w:val="00511ECD"/>
    <w:pPr>
      <w:spacing w:after="100"/>
    </w:pPr>
    <w:rPr>
      <w:rFonts w:eastAsiaTheme="minorEastAsia"/>
      <w:lang w:eastAsia="en-CA"/>
    </w:rPr>
  </w:style>
  <w:style w:type="paragraph" w:styleId="TM3">
    <w:name w:val="toc 3"/>
    <w:basedOn w:val="Normal"/>
    <w:next w:val="Normal"/>
    <w:autoRedefine/>
    <w:uiPriority w:val="39"/>
    <w:unhideWhenUsed/>
    <w:rsid w:val="00511ECD"/>
    <w:pPr>
      <w:spacing w:after="100"/>
      <w:ind w:left="440"/>
    </w:pPr>
    <w:rPr>
      <w:rFonts w:eastAsiaTheme="minorEastAsia"/>
      <w:lang w:eastAsia="en-CA"/>
    </w:rPr>
  </w:style>
  <w:style w:type="paragraph" w:styleId="TM4">
    <w:name w:val="toc 4"/>
    <w:basedOn w:val="Normal"/>
    <w:next w:val="Normal"/>
    <w:autoRedefine/>
    <w:uiPriority w:val="39"/>
    <w:unhideWhenUsed/>
    <w:rsid w:val="00511ECD"/>
    <w:pPr>
      <w:spacing w:after="100"/>
      <w:ind w:left="660"/>
    </w:pPr>
    <w:rPr>
      <w:rFonts w:eastAsiaTheme="minorEastAsia"/>
      <w:lang w:eastAsia="en-CA"/>
    </w:rPr>
  </w:style>
  <w:style w:type="paragraph" w:styleId="TM5">
    <w:name w:val="toc 5"/>
    <w:basedOn w:val="Normal"/>
    <w:next w:val="Normal"/>
    <w:autoRedefine/>
    <w:uiPriority w:val="39"/>
    <w:unhideWhenUsed/>
    <w:rsid w:val="00511ECD"/>
    <w:pPr>
      <w:spacing w:after="100"/>
      <w:ind w:left="880"/>
    </w:pPr>
    <w:rPr>
      <w:rFonts w:eastAsiaTheme="minorEastAsia"/>
      <w:lang w:eastAsia="en-CA"/>
    </w:rPr>
  </w:style>
  <w:style w:type="paragraph" w:styleId="TM6">
    <w:name w:val="toc 6"/>
    <w:basedOn w:val="Normal"/>
    <w:next w:val="Normal"/>
    <w:autoRedefine/>
    <w:uiPriority w:val="39"/>
    <w:unhideWhenUsed/>
    <w:rsid w:val="00511ECD"/>
    <w:pPr>
      <w:spacing w:after="100"/>
      <w:ind w:left="1100"/>
    </w:pPr>
    <w:rPr>
      <w:rFonts w:eastAsiaTheme="minorEastAsia"/>
      <w:lang w:eastAsia="en-CA"/>
    </w:rPr>
  </w:style>
  <w:style w:type="paragraph" w:styleId="TM7">
    <w:name w:val="toc 7"/>
    <w:basedOn w:val="Normal"/>
    <w:next w:val="Normal"/>
    <w:autoRedefine/>
    <w:uiPriority w:val="39"/>
    <w:unhideWhenUsed/>
    <w:rsid w:val="00511ECD"/>
    <w:pPr>
      <w:spacing w:after="100"/>
      <w:ind w:left="1320"/>
    </w:pPr>
    <w:rPr>
      <w:rFonts w:eastAsiaTheme="minorEastAsia"/>
      <w:lang w:eastAsia="en-CA"/>
    </w:rPr>
  </w:style>
  <w:style w:type="paragraph" w:styleId="TM8">
    <w:name w:val="toc 8"/>
    <w:basedOn w:val="Normal"/>
    <w:next w:val="Normal"/>
    <w:autoRedefine/>
    <w:uiPriority w:val="39"/>
    <w:unhideWhenUsed/>
    <w:rsid w:val="00511ECD"/>
    <w:pPr>
      <w:spacing w:after="100"/>
      <w:ind w:left="1540"/>
    </w:pPr>
    <w:rPr>
      <w:rFonts w:eastAsiaTheme="minorEastAsia"/>
      <w:lang w:eastAsia="en-CA"/>
    </w:rPr>
  </w:style>
  <w:style w:type="paragraph" w:styleId="TM9">
    <w:name w:val="toc 9"/>
    <w:basedOn w:val="Normal"/>
    <w:next w:val="Normal"/>
    <w:autoRedefine/>
    <w:uiPriority w:val="39"/>
    <w:unhideWhenUsed/>
    <w:rsid w:val="00511ECD"/>
    <w:pPr>
      <w:spacing w:after="100"/>
      <w:ind w:left="1760"/>
    </w:pPr>
    <w:rPr>
      <w:rFonts w:eastAsiaTheme="minorEastAsia"/>
      <w:lang w:eastAsia="en-CA"/>
    </w:rPr>
  </w:style>
  <w:style w:type="character" w:styleId="Mentionnonrsolue">
    <w:name w:val="Unresolved Mention"/>
    <w:basedOn w:val="Policepardfaut"/>
    <w:uiPriority w:val="99"/>
    <w:semiHidden/>
    <w:unhideWhenUsed/>
    <w:rsid w:val="00511ECD"/>
    <w:rPr>
      <w:color w:val="605E5C"/>
      <w:shd w:val="clear" w:color="auto" w:fill="E1DFDD"/>
    </w:rPr>
  </w:style>
  <w:style w:type="paragraph" w:styleId="En-tte">
    <w:name w:val="header"/>
    <w:basedOn w:val="Normal"/>
    <w:link w:val="En-tteCar"/>
    <w:uiPriority w:val="99"/>
    <w:unhideWhenUsed/>
    <w:rsid w:val="00AD7067"/>
    <w:pPr>
      <w:tabs>
        <w:tab w:val="center" w:pos="4680"/>
        <w:tab w:val="right" w:pos="9360"/>
      </w:tabs>
      <w:spacing w:after="0" w:line="240" w:lineRule="auto"/>
    </w:pPr>
  </w:style>
  <w:style w:type="character" w:customStyle="1" w:styleId="En-tteCar">
    <w:name w:val="En-tête Car"/>
    <w:basedOn w:val="Policepardfaut"/>
    <w:link w:val="En-tte"/>
    <w:uiPriority w:val="99"/>
    <w:rsid w:val="00AD7067"/>
  </w:style>
  <w:style w:type="paragraph" w:styleId="Pieddepage">
    <w:name w:val="footer"/>
    <w:basedOn w:val="Normal"/>
    <w:link w:val="PieddepageCar"/>
    <w:uiPriority w:val="99"/>
    <w:unhideWhenUsed/>
    <w:rsid w:val="00AD706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AD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sb.ca/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4D3AD-A97D-4F7A-920D-06913B40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Youth Services Bureau of Ottawa</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Munteanu</dc:creator>
  <cp:keywords/>
  <dc:description/>
  <cp:lastModifiedBy>Marie-Eve Bourgault</cp:lastModifiedBy>
  <cp:revision>76</cp:revision>
  <dcterms:created xsi:type="dcterms:W3CDTF">2024-12-17T00:30:00Z</dcterms:created>
  <dcterms:modified xsi:type="dcterms:W3CDTF">2024-12-24T00:01:00Z</dcterms:modified>
</cp:coreProperties>
</file>